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PE23.024281 vom 30. Juli 2024</w:t>
      </w:r>
    </w:p>
    <w:p>
      <w:r>
        <w:t>VD Tribunal cantonal, 2024-07-30, FR</w:t>
      </w:r>
    </w:p>
    <w:p>
      <w:r>
        <w:rPr>
          <w:b/>
        </w:rPr>
        <w:t xml:space="preserve">Quelle: </w:t>
      </w:r>
      <w:r>
        <w:t>https://mcp.opencaselaw.ch/entscheid/vd_gerichte_PE23.024281</w:t>
      </w:r>
    </w:p>
    <w:p>
      <w:r>
        <w:t>FR: VD_GERICHTE PE23.024281 du 30 juillet 2024</w:t>
      </w:r>
    </w:p>
    <w:p>
      <w:r>
        <w:t>IT: VD_GERICHTE PE23.024281 del 30 luglio 2024</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11 décembre 2023/1000 consid. 1.1 ; CREP 7 décembre 2022/942 consid. 1.1 ; CREP 14 novembre 2022/798 consid. 1.1).</w:t>
      </w:r>
    </w:p>
    <w:p>
      <w:r>
        <w:t>- 4 -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du tribunal de police qui l’a transmis à l’autorité compétente en application de l’art. 91 al. 4 CPP, par le prévenu qui a qualité pour recourir (art. 382 al. 1 CPP), et satisfaisant aux conditions de forme prescrites (art. 385 al. 1 CPP), le recours interjeté par O.________ est recevable.</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w:t>
      </w:r>
    </w:p>
    <w:p>
      <w:r>
        <w:t>- 7 -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w:t>
      </w:r>
    </w:p>
    <w:p>
      <w:r>
        <w:t>- 8 -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2.1</w:t>
      </w:r>
    </w:p>
    <w:p>
      <w:r>
        <w:t>Le recourant fait valoir que sa santé psychique est fragile, qu’il est sujet à des angoisses et à des émotions qui peuvent influer sur sa manière d’être. Il peut se retrouver figé, mutique, déconnecté au niveau de ses pensées et de son environnement ce qui peut perturber sa « paix intérieure » et le faire se sentir persécuté. S’il se retrouvait dans une telle situation, il estime qu’il ne serait pas en mesure de défendre ses intérêts et ses droits « au mieux ». En outre, la procédure aurait des impacts négatifs sur son quotidien et l’empêcherait d’être présent à des activités thérapeutiques car il est trop « parasité » par les démarches en cours et par les contradictions qu’il relève « dans la dénonciation déposée à son encontre ».</w:t>
      </w:r>
    </w:p>
    <w:p>
      <w:r>
        <w:rPr>
          <w:b/>
        </w:rPr>
        <w:t>E. 2.2</w:t>
      </w:r>
    </w:p>
    <w:p>
      <w:r>
        <w:t>Aux termes de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w:t>
      </w:r>
    </w:p>
    <w:p>
      <w:r>
        <w:t>- 5 - devant le tribunal de première instance ou la juridiction d’appel (let. d), ou si une procédure simplifiée (art. 358 à 362 CPP) est mise en œuvre (let. e). 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6B_508/2020 du 7 janvier 2021 consid. 2.1.1; TF 1B_493/2019 du 20 décembre 2019 consid. 2.1 ;TF 1B_285/2016 du 1er septembre 2016 consid. 2.1 et réf. cit.).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2e éd., Bâle 2016, n. 15 ad art. 130 CPP et réf. cit.).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 2.1 et les références citées), ainsi que de troubles mentaux sévères ou même légers (Schmid/Jositsch, Praxiskommentar, Schweizerische Strafprozessordnung, 3e éd., 2018, n. 9 ad art. 130 CPP ; Harari/Jakob/Santamaria, in : CR CPP, op. cit., n. 26 ad art. 130 CPP et réf. cit.). Les empêchements psychiques, plus particulièrement, ne supposent</w:t>
      </w:r>
    </w:p>
    <w:p>
      <w:r>
        <w:t>- 6 - pas que le prévenu souffre nécessairement de troubles d'ordre psychiatrique ; il suffit qu’il puisse être établi qu'il ne saisisse pas ou plus les enjeux auxquels il est confronté dans la procédure pénale (Moreillon/Parein-Reymond, op. cit., n. 17 ad art. 130 CPP et réf. cit. ; Ruckstuhl, Basler Kommentar, Schweizerische Strafprozessordnung, Jugendstrafprozessordnung, 2e éd., Bâle 2014, n. 30 ad art.130 CPP et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6B_508/2020 du 7 janvier 2021 consid. 2.1.1; TF 1B_493/2019 du 20 décembre 2019 consid. 2.1; TF 1B_285/2016 du 1er septembre 2016 consid. 2.1 et réf. cit.).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2.3</w:t>
      </w:r>
    </w:p>
    <w:p>
      <w:r>
        <w:t>En l’espèce, l’ordonnance litigieuse a condamné le recourant à une amende de 300 fr. convertible en deux jours de détention en cas de non-paiement fautif de l’amende. Cela étant, le recourant indique avoir une santé psychique fragile et être suivi pour cela à la consultation ambulatoire de Chauderon, ce qui l’empêcherait de défendre ses droits. Il était d’ailleurs accompagné d’un assistant social de cette consultation à l’audience de la commission des contraventions. Le recourant ne produit cependant aucun certificat médical ni aucune pièce qui attesterait que son état psychique ne lui permet pas suffisamment de défendre ses intérêts dans la procédure. En particulier, on relèvera qu’il a pu déposer un recours recevable et compréhensible dans la présente cause, dont il semble parfaitement comprendre les</w:t>
      </w:r>
    </w:p>
    <w:p>
      <w:r>
        <w:t>- 9 - enjeux. Une incapacité de procéder n'étant reconnue que très exceptionnellement selon la jurisprudence citée ci-avant, il n’existe en l'état aucun doute sur cette question. Par ailleurs, la cause ne relève pas d'une défense obligatoire et le recourant ne conteste pas, à juste titre, l’appréciation de la présidente aux termes de laquelle la cause n'est complexe ni en fait ni en droit et de peu de gravité.</w:t>
      </w:r>
    </w:p>
    <w:p>
      <w:r>
        <w:rPr>
          <w:b/>
        </w:rPr>
        <w:t>E. 3</w:t>
      </w:r>
    </w:p>
    <w:p>
      <w:r>
        <w:t>En définitive, le recours interjeté par O.________, manifestement mal fondé, doit être rejeté sans échange d’écritures (art. 390 al. 2 CPP), et l’ordonnance attaquée confirmée. Les frais de la procédure de recours, constitués en l’espèce du seul émolument d’arrêt par 880 fr., seront mis à la charge du recourant qui succombe (art. 428 al. 1 CPP). Par ces motifs, la Chambre des recours pénale prononce : I. Le recours est rejeté. II. Le prononcé du 12 juillet 2024 est confirmé. III. Les frais d’arrêt, par 880 fr. (huit cent huitante francs), sont mis à la charge de O.________. IV. L’arrêt est exécutoire. Le président : La greffière : Du Le présent arrêt, dont la rédaction a été approuvée à huis clos, est notifié, par l'envoi d'une copie complète, à : - M. O.________, - Ministère public central,</w:t>
      </w:r>
    </w:p>
    <w:p>
      <w:r>
        <w:t>- 10 - et communiqué à : - Mme la Présidente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