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PE23.024110 vom 23. Juli 2024</w:t>
      </w:r>
    </w:p>
    <w:p>
      <w:r>
        <w:t>VD Tribunal cantonal, 2024-07-23, FR</w:t>
      </w:r>
    </w:p>
    <w:p>
      <w:r>
        <w:rPr>
          <w:b/>
        </w:rPr>
        <w:t xml:space="preserve">Quelle: </w:t>
      </w:r>
      <w:r>
        <w:t>https://mcp.opencaselaw.ch/entscheid/vd_gerichte_PE23.024110</w:t>
      </w:r>
    </w:p>
    <w:p>
      <w:r>
        <w:t>FR: VD_GERICHTE PE23.024110 du 23 juillet 2024</w:t>
      </w:r>
    </w:p>
    <w:p>
      <w:r>
        <w:t>IT: VD_GERICHTE PE23.024110 del 23 luglio 2024</w:t>
      </w:r>
    </w:p>
    <w:p>
      <w:pPr>
        <w:pStyle w:val="Heading2"/>
      </w:pPr>
      <w:r>
        <w:t>Volltext</w:t>
      </w:r>
    </w:p>
    <w:p>
      <w:r>
        <w:t>TRIBUNAL CANTONAL 519 PE23.024110-AKA CHAMBRE DE S RECO URS PEN ALE __________________________________________ Arrêt du 23 juillet 2024 __________________ Composition : M. KRIEGER, président Mme Byrde et M. Perrot, juges Greffière : Mme Kaufmann ***** Art. 173, 174 CP ; 310 CPP Statuant sur le recours interjeté le 22 décembre 2023 par X.________ contre l’ordonnance de non-entrée en matière rendue le 11 décembre 2023 par le Ministère public de l’arrondissement de Lausanne dans la cause n° PE23.024110-AKA, la Chambre des recours pénale considère : En fait : A. X.________, membre de la [...] au [...], a été [...] et [...] de ce pays du [...] au [...]. Il a également été président du [...] du [...] au [...], date à laquelle il a suspendu ses fonctions en raison d’une procédure 351</w:t>
      </w:r>
    </w:p>
    <w:p>
      <w:r>
        <w:t>- 2 - pénale ouverte à son encontre par les autorités genevoises, pour faux dans les titres. A la suite de la tenue d’élections, le [...] 2023, pour la présidence du [...], qui voyaient s’opposer [...] – soit le [...] d’X.________ – à [...], la [...] du K.________ ([...]) a rédigé un rapport, le [...] 2023, dans lequel elle indiquait qu’il ressortait de la revue du processus électoral du [...] que, le [...] 2023, il avait été demandé à l’un des employés de ce conseil de se rendre dans un poste de police à [...] ; là, après une heure d’attente, la personne avait dû répondre à quelques questions concernant sa fonction au [...] et la nature de son travail. Cette situation n’avait eu aucune conséquence. Cependant, une telle demande de la police avait été perçue au sein de l’administration du [...] comme une tentative de pression sur les employés sous la responsabilité du directeur général, le candidat [...] (« It emerged from the [...] election process review that, on [...] 2023, one of the [...] staff members was asked to go to a police station in [...]; there, following an hour’s wait, the person had to answer some questions regarding their position at the [...] and the nature of their work. There were no consequences to this situation. However, such a request by the police was perceived within the [...] administration as an attempt to exercise pressure on the staff under the responsibility of the Director General/ the candidate Mr [...]»; P. 7, p. 7). Le K.________ parvenait à la conclusion qu’au vu des responsabilités [...] de X.________ liées à son poste de [...], on pouvait s’interroger sur son influence sur un tel incident (« Considering X.________’s [...] responsibilities in connection with his position as [...], one could question his influence on such an incident » ; P. 7, p. 7) Le 7 décembre 2023, X.________ a déposé plainte contre le K.________ pour calomnie, subsidiairement diffamation, lui reprochant d’avoir, par les propos relevés ci-avant dans son rapport du 10 octobre 2023, porté atteinte à son honneur. B. Par ordonnance du 11 décembre 2023, le Ministère public de l’arrondissement de Lausanne (ci-après : Ministère public) a refusé</w:t>
      </w:r>
    </w:p>
    <w:p>
      <w:r>
        <w:t>- 3 - d’entrer en matière sur la plainte d’X.________ et laissé les frais à la charge de l’Etat. Le procureur a considéré que l’allégation incriminée était notamment formulée sous la forme interrogative et qu’elle ne pouvait apparaître comme suffisamment caractérisée pour fonder des soupçons suffisants qu’une atteinte à l’honneur aurait été commise, de sorte que les éléments constitutifs des infractions de calomnie et de diffamation n’étaient pas réalisés. C. Par acte du 22 décembre 2023, X.________, par ses deux conseils de choix, a recouru contre cette ordonnance, concluant à son annulation et à ce qu’ordre soit donné au Ministère public d’ouvrir une procédure pénale, ainsi qu’à l’allocation d’une indemnité de 4'500 fr. pour ses dépens de la procédure de recours. Par courrier du 11 juillet 2024, dans le délai qui lui a été imparti à cet effet, le Ministère public, se référant intégralement à son ordonnance, a conclu au rejet du recours aux frais de son auteur.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En l’espèce, interjeté en temps utile auprès de l’autorité compétente, par la partie plaignante qui a qualité pour recourir (art. 382 al. 1 CPP), et dans les formes prescrites (art. 385 al. 1 CPP), le recours est recevable. 2. 2.1 Le recourant invoque une violation de son droit d’être entendu et expose à cet égard que la motivation de l’ordonnance, particulièrement succincte, ne lui permettrait pas de comprendre les motifs de la non- entrée en matière. 2.2 Le droit d’être entendu, tel qu’il est garanti par les art. 29 al. 2 Cst. (Constitution fédérale de la Confédération suisse du 18 avril 1999 ; RS 101) et 3 al. 2 let. c CPP (cf. aussi art.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w:t>
      </w:r>
    </w:p>
    <w:p>
      <w:r>
        <w:t>- 5 -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 Dans la procédure relative à l’ordonnance de non-entrée en matière, le droit d’être entendu des parties est assuré, cas échéant, dans le cadre de la procédure de recours (art. 310 al. 2, 322 al. 2 et 393 ss CPP), qui permet aux parties de faire valoir tous leurs griefs – formels et matériels – auprès d’une autorité disposant d’une pleine cognition en fait et en droit (art. 391 al. 1 et 393 al. 2 CPP ; TF 6B_382/2022 du 12 septembre 2022 consid. 2.1.2 ; TF 6B_89/2022 du 2 juin 2022 consid. 2.2). 2.3 En l’espèce, contrairement à ce qu’affirme le recourant, la motivation du Ministère public est particulièrement intelligible. Ainsi, le procureur a mis en évidence la forme interrogative de l’allégation litigieuse et est parvenu à la conclusion que cette formulation excluait qu’une atteinte à l’honneur puisse avoir été commise. Certes, cette argumentation est succincte, mais il est néanmoins possible de parfaitement la comprendre et de la contester en connaissance de cause, ce que le recourant a précisément fait. Mal fondé, ce grief doit être rejeté. 3. 3.1 Le recourant invoque une violation des art. 309 al. 1 let. a et al. 3 cum 310 al. 1 let. a CPP, ainsi que de l’art. 173 CP (Code pénal suisse du 21 décembre 1937 ; RS 311.0). Pour apprécier si la déclaration est attentatoire à l’honneur, il faudrait selon lui, en vertu de la jurisprudence du Tribunal fédéral, se fonder sur une interprétation objective selon le sens qu’un destinataire non prévenu doit, dans les circonstances d’espèce, lui attribuer. Il ne serait en outre pas nécessaire que l’auteur affirme des</w:t>
      </w:r>
    </w:p>
    <w:p>
      <w:r>
        <w:t>- 6 - faits qui rendent méprisable la personne visée car le seul fait de jeter un soupçon sur celle-ci ou de suggérer une idée sans l’énoncer expressément suffirait pour que l’auteur du propos soit punissable. Ainsi, émettre des réserves ou recourir à la forme interrogative ne permettrait pas de remédier au caractère attentatoire à l’honneur. Or, en l’espèce, le Ministère public aurait précisément uniquement motivé sa décision par la forme interrogative de la déclaration, celle-ci étant manifestement attentatoire à l’honneur du recourant puisqu’elle le fait passer pour une personne soupçonnée d’avoir abusé des pouvoirs de sa charge [...] pour influencer le processus électoral au sein du [...]. De plus, la phrase incriminée ne reposerait sur aucun élément concret allant dans le sens d’une telle supposition. 3.2 3.2.1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w:t>
      </w:r>
    </w:p>
    <w:p>
      <w:r>
        <w:t>- 7 - 101]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3.2.2 Aux termes de l'art. 173 ch. 1 CP, se rend coupable de diffamation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 TF 7B_10/2022 du 25 septembre 2023 consid. 4.3.1).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précité consid. 2.1.3). Pour qu'il y ait diffamation, il n'est</w:t>
      </w:r>
    </w:p>
    <w:p>
      <w:r>
        <w:t>- 8 -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7B_10/2022 précité ; TF 6B_777/2022 du 16 mars 2023 consid. 3.1, non publié à l’ATF 149 IV 170).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 cit.). Selon le Tribunal fédéral, une formulation interrogative peut tomber sous le coup de ces dispositions si les propos demeurent néanmoins attentatoires à l'honneur (TF 6B_698/2012 du 28 janvier 2013 consid. 3.1.3 ; TF 6B_185/2011 du 22 décembre 2011 consid. 6.1). Du point de vue subjectif, il suffit que l'auteur ait eu conscience du caractère attentatoire à l'honneur de ses propos et qu'il les ait néanmoins proférés ; il n'est pas nécessaire qu'il ait eu la volonté de blesser la personne visée (ATF 137 IV 313 précité consid. 2.1.6 ; TF 7B_10/2022 précité ; TF 6B_777/2022 précité). 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7B_10/2022 précité consid. 4.3.2 ; TF 6B_777/2022 précité consid. 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w:t>
      </w:r>
    </w:p>
    <w:p>
      <w:r>
        <w:t>- 9 -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précité ; TF 6B_1100/2016 du 25 octobre 2017 consid. 1.2 ; TF 6B_1225/2014 du 18 janvier 2016 consid. 1.2 et les réf. cit.).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7B_10/2022 précité consid. 4.3.3 ; TF 6B_1461/2021 du 29 août 2022 consid. 2.1.2). 3.2.3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7B_10/2022 précité consid. 4.3.4 ; TF 6B_1040/2022 du 23 août 2023 consid. 3.1.1 ; TF 6B_1215/2020 du 22 avril 2021 consid. 3.1). 3.2.4 Conformément à l'art. 14 CP, quiconque agit comme la loi l'ordonne ou l'autorise se comporte de manière licite, même si l'acte est punissable en vertu du présent code ou d'une autre loi. Selon la jurisprudence, cette norme peut, dans certaines hypothèses, exclure la</w:t>
      </w:r>
    </w:p>
    <w:p>
      <w:r>
        <w:t>- 10 -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6B_475/2020 du 31 août 2020 consid. 2.2.2 et les réf. cit.). En effet, il s’agit, dans ces situations, de tenir dûment compte de la situation particulière de celui qui est tenu par la loi de s’exprimer. La personne appelée à donner des renseignements qui porte atteinte à l’honneur d’un tiers lorsqu’elle est entendue par la police ou le juge peut également se prévaloir du fait justificatif prévu à l’art. 14 CP, aux mêmes conditions que les autres participants à la procédure, tels les témoins ou les parties (ATF 135 IV 177 précité).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précité ; TF 6B_541/2019 du 15 juillet 2019 consid. 2.2 et les réf. cit.). Le fait justificatif de l’art. 14 CP doit en principe être examiné avant la question des preuves libératoires prévues par l'art. 173 ch. 2 CP (ATF 135 IV 177 précité). 3.3 En l’espèce, toute personne non prévenue qui serait confrontée à la déclaration incriminée comprendrait que le plaignant est soupçonné d’avoir abusé des pouvoirs de sa charge [...] pour influencer le processus électoral au sein du [...], soit d’avoir commis un abus d’autorité ; cela serait encore plus manifeste pour toute personne faisant partie des milieux [...] concernés, du K.________ et du [...]. À ce stade, contrairement à ce qu’a retenu le procureur, les propos incriminés sont de</w:t>
      </w:r>
    </w:p>
    <w:p>
      <w:r>
        <w:t>- 11 - nature à porter atteinte à l’honneur du plaignant et c’est donc à tort que le Ministère public a d’emblée nié la réalisation de l’élément objectif des deux infractions considérées. Il incombe donc à cette autorité d’ouvrir une instruction portant sur les faits mentionnés dans la plainte. Le recours doit dès lors être admis. Pour le surplus, savoir si l'émission d'un tel soupçon peut se justifier, sous certaines conditions, dans le cadre d'une procédure de dénonciation, relève moins de la qualification du propos comme attentatoire à l'honneur au sens des art. 173 ch. 1 al. 1 et 174 ch. 1 al. 1 CP que de la question d'une éventuelle justification de l'atteinte, qui doit cas échéant être examinée sous l'angle des art. 14 et 173 ch. 2 CP. 4. En définitive, le recours doit être admis, l’ordonnance querellée annulée et le dossier de la cause renvoyé au Ministère public pour qu’il procède dans le sens des considérants. Les frais de la procédure de recours, constitués en l’espèce du seul émolument d'arrêt, par 1’210 fr. (art. 20 al. 1 TFIP [tarif des frais judiciaires et indemnités en matière pénale du 28 septembre 2010 ; BLV 312.03.1]), seront laissés à la charge de l’Etat (art. 428 al. 4 CPP). Obtenant gain de cause, le recourant, qui a procédé avec l’assistance de deux avocats de choix, a droit à une indemnité pour les dépenses occasionnées par la procédure de recours (art. 433 al. 1 let. a CPP, applicable par renvoi de l’art. 436 al. 1 CPP). Il a conclu à l’allocation de 4'500 fr. à ce titre, sans toutefois produire de liste des opérations de ses conseils. Ce montant paraît excessif, étant précisé que l’affaire ne présente pas de difficultés particulières, l’atteinte à l’honneur étant une infraction commune en droit pénal, et qui ne nécessite en tous les cas pas l’intervention de deux avocats. Au vu de la nature du recours déposé, l'indemnité qu'il convient d'allouer à ce titre au recourant doit être fixée à 1'200 fr., soit quatre heures d’activité nécessaire d’avocat au tarif horaire de 300 fr. (art. 26a al. 3 TFIP [tarif des frais de procédure et indemnités en matière pénale du 28 septembre 2010 ; BLV 312.03.1]), montant auquel il</w:t>
      </w:r>
    </w:p>
    <w:p>
      <w:r>
        <w:t>- 12 - convient d’ajouter 2 % pour les débours forfaitaires (art. 3bis al. 1 RAJ [règlement sur l'assistance judiciaire en matière civile du 7 décembre 2010 ; BLV 211.02.3] par renvoi de l’art. 26a al. 6 TFIP), soit 24 fr., et 8,1 % de TVA sur le tout, soit 99 fr. 15, ce qui représente une indemnité de 1'324 fr. en chiffres arrondis. Par ces motifs, la Chambre des recours pénale prononce : I. Le recours est admis. II. L’ordonnance du 11 décembre 2023 est annulée. III. Le dossier de la cause est renvoyé au Ministère public de l’arrondissement de Lausanne pour qu’il procède dans le sens des considérants. IV. Les frais d’arrêt, par 1’210 fr. (mille deux cent dix francs), sont laissés à la charge de l’Etat. V. Une indemnité de 1’324 fr. (mille trois cent vingt-quatre francs) est allouée à X.________, pour la procédure de recours, à la charge de l’Etat. VI. L’arrêt est exécutoire. Le président : La greffière : Du Le présent arrêt, dont la rédaction a été approuvée à huis clos, est notifié, par l'envoi d'une copie complète, à : - Mes Mahault Frei de Clavière et Albert Righini, avocats (pour X.________), - Ministère public central,</w:t>
      </w:r>
    </w:p>
    <w:p>
      <w:r>
        <w:t>- 13 -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