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PE23.024103 vom 3. September 2025</w:t>
      </w:r>
    </w:p>
    <w:p>
      <w:r>
        <w:t>VD Tribunal cantonal, 2025-09-03, FR</w:t>
      </w:r>
    </w:p>
    <w:p>
      <w:r>
        <w:rPr>
          <w:b/>
        </w:rPr>
        <w:t xml:space="preserve">Quelle: </w:t>
      </w:r>
      <w:r>
        <w:t>https://mcp.opencaselaw.ch/entscheid/vd_gerichte_PE23.024103</w:t>
      </w:r>
    </w:p>
    <w:p>
      <w:r>
        <w:t>FR: VD_GERICHTE PE23.024103 du 3 septembre 2025</w:t>
      </w:r>
    </w:p>
    <w:p>
      <w:r>
        <w:t>IT: VD_GERICHTE PE23.024103 del 3 settembre 2025</w:t>
      </w:r>
    </w:p>
    <w:p>
      <w:pPr>
        <w:pStyle w:val="Heading2"/>
      </w:pPr>
      <w:r>
        <w:t>Erwägungen</w:t>
      </w:r>
    </w:p>
    <w:p>
      <w:r>
        <w:rPr>
          <w:b/>
        </w:rPr>
        <w:t>E. 1</w:t>
      </w:r>
    </w:p>
    <w:p>
      <w:r>
        <w:t>Les parties peuvent attaquer une ordonnance de non-entrée en matière rendue par le Ministère public en application de l’art. 310 CPP (Code de procédure pénale du 5 octobre 2007;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le recours, remis à la poste le 17 février 2025, a été déposé en temps utile par la plaignante devant l’autorité compétente et dans les formes prescrites (art. 385 al. 1 CPP). Partant, il est recevable.</w:t>
      </w:r>
    </w:p>
    <w:p>
      <w:r>
        <w:rPr>
          <w:b/>
        </w:rPr>
        <w:t>E. 2.1</w:t>
      </w:r>
    </w:p>
    <w:p>
      <w:r>
        <w:t>La recourante soutient que sur les douze factures transmises par les clients, dix n’auraient pas été établies par ses soins. Elle relève à cet égard qu’elle avait pour pratique de numéroter ses factures avec un format à cinq chiffres et que les factures en question comportaient quatre chiffres indiquant l’année en cours, suivis de deux chiffres</w:t>
      </w:r>
    </w:p>
    <w:p>
      <w:r>
        <w:t>- 4 - supplémentaires, soit un total de six chiffres. De surcroît, à côté du numéro de référence, figureraient les initiales d’une ancienne employée qui n’avait pas encore été engagée à cette époque et ces factures ne comporteraient pas le tampon « payé », ni la date du paiement et la signature en-dessous, ce qui ne correspondrait pas à la pratique de la société. Enfin, son logo ne serait pas le même sur les factures incriminées, la police de caractères étant différente et les mentions habituelles ne figurant pas (numéro TVA, formule « Paiement net à 10 jours », numéro du compte de la société). La recourante reproche ainsi au Ministère public de ne pas s’être interrogé davantage sur l’origine réelle des pièces litigieuses, alors qu’une simple comparaison de la pratique habituelle de la plaignante et du procédé utilisé pour établir ces factures contestées pouvait constituer un indice de falsification. Cela se justifiait d’autant plus que les déclarations des clients à la police à propos de la réception des factures pour le chantier de [...] seraient à la fois contradictoires et incohérentes, vu que la plaignante adressait ses factures au bureau d’architectes à [...] et non pas au domicile des clients.</w:t>
      </w:r>
    </w:p>
    <w:p>
      <w:r>
        <w:rPr>
          <w:b/>
        </w:rPr>
        <w:t>E. 2.2.1</w:t>
      </w:r>
    </w:p>
    <w:p>
      <w:r>
        <w:t>Selon l’art. 6 CPP, les autorités pénales recherchent d’office tous les faits pertinents pour la qualification de l’acte et le jugement du prévenu (al. 1). Elles instruisent avec un soin égal les circonstances qui peuvent être à la charge et à la décharge du prévenu (al. 2). La procédure pénale est ainsi régie par la maxime de l’instruction, selon laquelle le Ministère public doit adopter un comportement actif, à savoir rechercher lui-même les faits, d’office et en toute indépendance, dans le but de former son intime conviction et d’établir la vérité matérielle (Moreillon/Parein-Reymond, Petit Commentaire, Code de procédure pénale, 3e éd., Bâle 2025, n. 4 ad art. 6 CPP et les références citées). Cette maxime n’oblige pas le magistrat à administrer d’office de nouvelles preuves lorsqu’il a déjà formé son opinion sur la base du dossier et parvient à la conclusion que les preuves en question ne sont pas décisives pour la solution du litige ou ne pourraient pas l’amener à modifier son opinion (TF 6B_317/2018 du 10</w:t>
      </w:r>
    </w:p>
    <w:p>
      <w:r>
        <w:t>- 5 - août 2018 consid. 3.2 et les arrêts cités). S’agissant des faits pertinents, l’autorité dispose d’une liberté d’appréciation étendue et il lui appartient, en fonction de la complexité du cas, de la gravité de l’infraction et des moyens financiers à sa disposition, de définir le stade à partir duquel les faits sont suffisamment élucidés (Moreillon/Parein-Reymond, op. cit., n. 8 ad art. 6 CPP et les références citées).</w:t>
      </w:r>
    </w:p>
    <w:p>
      <w:r>
        <w:rPr>
          <w:b/>
        </w:rPr>
        <w:t>E. 2.2.2</w:t>
      </w:r>
    </w:p>
    <w:p>
      <w:r>
        <w:t>Aux termes de l’art. 309 al. 1 let. a CPP, le Ministère public ouvre une instruction lorsqu’il ressort du rapport de police, des dénonciations ou de ses propres constatations des soupçons suffisants laissant présumer qu’une infraction a été commise.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7B_115/2023 du 12 juillet 2024 consid. 4.1 ; TF 7B_24/2023 et 7B_25/2023 du 22 février 2024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w:t>
      </w:r>
    </w:p>
    <w:p>
      <w:r>
        <w:t>- 6 -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La procédure doit en particulier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(ATF 143 IV 241 consid. 2.2.1; 138 IV 86 consid. 4.1.2 et les références citées).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2.2.3</w:t>
      </w:r>
    </w:p>
    <w:p>
      <w:r>
        <w:t>Selon l’art. 251 CP, se rend coupable de faux dans les titres et est puni d’une peine privative de liberté de cinq ans au plus ou d’une peine pécuniaire,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L'art. 251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w:t>
      </w:r>
    </w:p>
    <w:p>
      <w:r>
        <w:t>- 7 - s'y fier raisonnablement. Tel est le cas lorsque certaines assurances objectives garantissent aux tiers la véracité de la déclaration (ATF 146 IV 258 consid. 1.1 ; ATF 144 IV 13 consid. 2.2.2). Il peut s'agir, par exemple, d'un devoir de vérification qui incombe à l'auteur du document ou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(ATF 142 IV 119 consid. 2.1).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 ATF 142 IV 119 consid. 2.2 ; TF 6B_941/2021 du 9 mars 2022 consid. 3.3.1). Selon le Tribunal fédéral, le fait d’émettre un document, même non signé, au moyen d’une machine, en faisant croire faussement qu’il émane d’une personne physique ou morale déterminée, remplit les conditions de la création d’un titre faux (ATF 96 IV 185, JdT 1972 IV 3 ; Dupuis/Moreillon/Piguet/Berger/ Mazou/Rodigari [éd.], Petit commentaire CP, 2e éd., Bâle 2017, n. 20 ad art. 251 CP).</w:t>
      </w:r>
    </w:p>
    <w:p>
      <w:r>
        <w:rPr>
          <w:b/>
        </w:rPr>
        <w:t>E. 2.2.4</w:t>
      </w:r>
    </w:p>
    <w:p>
      <w:r>
        <w:t>Aux termes de l'art. 146 al. 1 CP, se rend coupable d’escroquerie et est puni d’une peine privative de liberté de cinq ans au plus ou d’une peine pécuniaire,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consiste à tromper la dupe par des affirmations fallacieuses, par la dissimulation de faits vrais ou par un comportement qui la conforte dans son erreur. Par tromperie, il faut entendre tout</w:t>
      </w:r>
    </w:p>
    <w:p>
      <w:r>
        <w:t>- 8 - comportement destiné à faire naître chez autrui une représentation erronée des faits (TF 6B_822/2021 du 4 juillet 2022 consid. 1.1.2 ; TF 6B_653/2021 du 10 février 2022 consid. 1.3.1). Pour qu'il y ait escroquerie, une simple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 2.2.2 ; ATF 135 IV 76 consid. 5.2). Il y a notamment manœuvre frauduleuse lorsque l'auteur fait usage de titres falsifiés ou obtenus sans droit ou de documents mensongers (ATF 128 IV 18 consid. 3a ; TF 6B_653/2021 précité consid. 1.4.3).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 ATF 142 IV 153 consid. 2.2.2 ; ATF 135 IV 76 consid. 5. 2).</w:t>
      </w:r>
    </w:p>
    <w:p>
      <w:r>
        <w:rPr>
          <w:b/>
        </w:rPr>
        <w:t>E. 2.3</w:t>
      </w:r>
    </w:p>
    <w:p>
      <w:r>
        <w:t>En l’espèce, le raisonnement suivi par le Ministère public n’apparaît pas soutenable, car il est uniquement fondé sur les déclarations des clients recueillies par la police et ne comporte aucune vérification des indices allégués par la recourante. À ce stade, cette autorité semble s’être simplement livrée à des suppositions, sans avoir procédé à un quelconque examen des factures litigieuses. Or, comme le relève la recourante, on</w:t>
      </w:r>
    </w:p>
    <w:p>
      <w:r>
        <w:t>- 9 - dispose d’indices concrets établissant que les factures présentées par les clients (annexées au courrier de leur avocat du 10 novembre 2023, P. 6/3) sont différentes de celles que la plaignante a produites en comparaison (P. 10/1). Il faut en effet constater que le système de numérotation n’est pas le même (format à cinq chiffres pour les factures de la plaignante [p. ex. 13229] et format à six chiffres comprenant l’année en cours, pour les factures produites par V.________ et H.________ [p. ex. 2015 - 26]), que la manière d’indiquer le numéro de téléphone diverge également (les paires de chiffres sont séparés par des points sur les factures produites par la plaignante, ce qui n’est pas le cas sur les factures présentées par V.________ et H.________), de même que le logo de l’entreprise. Il est de surcroît assez surprenant que les factures présentées par les clients, qui font état d’un paiement cash, ne comportent aucune signature l’attestant. Enfin, s’il devait s’avérer que l’employée dont les initiales apparaissaient sur le courrier n’était pas au service de la plaignante lorsque la facture a été établie, l’apparence de falsification serait encore renforcée. S’agissant ensuite des deux quittances produites, V.________ a déclaré qu’elles avaient été établies par S.________. Or, l’une d’elle orthographie faussement le nom de son représentant ([...] au lieu d’[...]) et l’une des signatures de celui-ci est très clairement différente de celles qui apparaissent dans les autres documents. Tous ces éléments méritent des éclaircissements justifiant l’ouverture d’une enquête pour faux dans les titres, voire escroquerie.</w:t>
      </w:r>
    </w:p>
    <w:p>
      <w:r>
        <w:rPr>
          <w:b/>
        </w:rPr>
        <w:t>E. 3.1</w:t>
      </w:r>
    </w:p>
    <w:p>
      <w:r>
        <w:t>En définitive, le recours doit être admis et l’ordonnance entreprise annulée. Le dossier de la cause sera ainsi renvoyé au Ministère public pour qu’il ouvre une instruction pénale et procède dans le sens des considérants.</w:t>
      </w:r>
    </w:p>
    <w:p>
      <w:r>
        <w:rPr>
          <w:b/>
        </w:rPr>
        <w:t>E. 3.2</w:t>
      </w:r>
    </w:p>
    <w:p>
      <w:r>
        <w:t>Vu l’admission du recours, les frais de la procédure, constitués en l’espèce du seul émolument d'arrêt, par 1’100 fr. (art. 20 al. 1 TFIP [tarif des frais de procédure et indemnités en matière pénale du 28 septembre 2010 ; BLV 312.03.1]), seront laissés à la charge de l’Etat (art.</w:t>
      </w:r>
    </w:p>
    <w:p>
      <w:r>
        <w:t>- 10 - 428 al. 4 CPP). Le montant de 770 fr. versé par la recourante à titre de sûretés lui sera ainsi restitué (art. 7 TFIP).</w:t>
      </w:r>
    </w:p>
    <w:p>
      <w:r>
        <w:rPr>
          <w:b/>
        </w:rPr>
        <w:t>E. 3.3</w:t>
      </w:r>
    </w:p>
    <w:p>
      <w:r>
        <w:t>La recourante, qui a procédé avec l’assistance d’un conseil de choix et qui a obtenu gain de cause, a droit, de la part de l’Etat, à une indemnité pour les dépenses occasionnées par la procédure de recours (art. 433 al. 1 let. a CPP, applicable par renvoi de l’art. 436 al. 1 CPP). Au vu du mémoire déposé et de la nature de l’affaire, cette indemnité sera fixée à 1’200 fr., correspondant à quatre heures d’activité nécessaire d’avocat au tarif horaire de 300 fr. (art. 26a al. 3 TFIP), montant auquel il convient d’ajouter des débours forfaitaires à concurrence de 2 % des honoraires admis (art. 19 al. 2 TDC [tarif des dépens en matière civile du 23 novembre 2010 ; BLV 270.11.6], applicable par renvoi de l’art. 26a al. 6 TFIP), par 24 fr., plus la TVA au taux de 8,1 %, par 99 fr. 15, soit à 1’324 fr. au total en chiffres arrondis. Par ces motifs, la Chambre des recours pénale prononce : I. Le recours est admis. II. L’ordonnance du 5 mars 2025 est annulée. III. Le dossier de la cause est renvoyé au Ministère public de l’arrondissement de La Côte pour qu’il procède dans le sens des considérants. IV. Les frais d’arrêt, par 1’100 fr. (mille cent francs), sont laissés à la charge de l’Etat. V. Le montant de 770 fr. (sept cent septante francs) versé par la recourante S.________ à titre de sûretés lui est restitué.</w:t>
      </w:r>
    </w:p>
    <w:p>
      <w:r>
        <w:t>- 11 - VI. Une indemnité de 1’324 fr. (mille trois cent vingt-quatre francs) est allouée à la recourante S.________ pour la procédure de recours, à la charge de l’Etat. VII. L’arrêt est exécutoire. Le président : La greffière : Du Le présent arrêt, dont la rédaction a été approuvée à huis clos, est notifié, par l'envoi d'une copie complète, à : - Me Xavier Pétremand (pour S.________),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