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PE23.022857 vom 26. Januar 2024</w:t>
      </w:r>
    </w:p>
    <w:p>
      <w:r>
        <w:t>VD Tribunal cantonal, 2024-01-26, FR</w:t>
      </w:r>
    </w:p>
    <w:p>
      <w:r>
        <w:rPr>
          <w:b/>
        </w:rPr>
        <w:t xml:space="preserve">Quelle: </w:t>
      </w:r>
      <w:r>
        <w:t>https://mcp.opencaselaw.ch/entscheid/vd_gerichte_PE23.022857</w:t>
      </w:r>
    </w:p>
    <w:p>
      <w:r>
        <w:t>FR: VD_GERICHTE PE23.022857 du 26 janvier 2024</w:t>
      </w:r>
    </w:p>
    <w:p>
      <w:r>
        <w:t>IT: VD_GERICHTE PE23.022857 del 26 gennaio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2.1</w:t>
      </w:r>
    </w:p>
    <w:p>
      <w:r>
        <w:t>Le recourant invoque une violation du principe « in dubio pro duriore ». En substance, il reproche à E.________ de ne pas l’avoir informé qu’elle était pourvue d’un appareil reproducteur masculin. Il affirme ainsi avoir été trompé parce qu’il n’aurait jamais consenti à entretenir des contacts physiques avec E.________ s’il avait su qu’elle était un homme. Il considère que la notion de pressions psychologiques est large et qu’il a été conduit à une relation homosexuelle qu’il ne voulait pas, par le fait que l’auteur était de genre masculin, habillé en femme et maquillé, et qu’il aurait ainsi créé une confusion dont il aurait profité.</w:t>
      </w:r>
    </w:p>
    <w:p>
      <w:r>
        <w:rPr>
          <w:b/>
        </w:rPr>
        <w:t>E. 2.2</w:t>
      </w:r>
    </w:p>
    <w:p>
      <w:r>
        <w:t>Conformément à l’art. 310 al. 1 CPP, le ministère public rend immédiatement une ordonnance de non-entrée en matière s’il ressort de</w:t>
      </w:r>
    </w:p>
    <w:p>
      <w:r>
        <w:t>- 4 -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conformément à l'adage in dubio pro duriore. Celui-ci découle du principe de la légalité (art. 5 al. 1 Cst. et art. 2 al. 2 CPP en relation avec les art. 319 al. 1 et 324 al. 1 CPP; ATF 138 IV 86 consid. 4.)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 TF 7B_27/2023 du 12 septembre 2023 consid. 3.2 ; TF 6B_933/2021 du 21 février 2022 consid. 2.1).</w:t>
      </w:r>
    </w:p>
    <w:p>
      <w:r>
        <w:rPr>
          <w:b/>
        </w:rPr>
        <w:t>E. 2.3</w:t>
      </w:r>
    </w:p>
    <w:p>
      <w:r>
        <w:t>A teneur de l'art. 189 al. 1 CP (Code pénal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ou</w:t>
      </w:r>
    </w:p>
    <w:p>
      <w:r>
        <w:t>- 5 -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ATF 131 IV 167 consid. 3.1). Pour qu'il y ait contrainte en matière sexuelle, il faut donc que la victime ne soit pas consentante, que l'auteur le sache ou accepte cette éventualité et qu'il passe outre en profitant de la situation ou en utilisant un moyen efficace (TF 6B_802/2021 du 10 février 2021 consid.1.2 et les arrêts cités). Les art. 189 et 190 CP ne protègent des atteintes à la libre détermination en matière sexuelle que pour autant que l'auteur surmonte ou déjoue la résistance que l'on pouvait raisonnablement attendre de la victime (ATF 133 IV 49 consid. 4 et l'arrêt cité ; TF 6B_488/2021 du 22 décembre 2021 consid. 5.4.1; 6B_1164/2020 précité consid. 3.1). A défaut d'une telle contrainte, de l'intensité exigée par la loi et la jurisprudence, et même si la victime ne souhaitait pas entretenir une relation sexuelle, l'infraction n'est pas réalisée (TF 6B_710/2012 du 3 avril 2013 consid. 3.1 ; TF 6B_311/2011 du 19 juillet 2011 consid. 5.2). L'auteur fait usage de violence lorsqu'il emploie volontairement la force physique sur la victime afin de la faire céder.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Ainsi, l'infériorité cognitive et la dépendance émotionnelle et sociale peuvent - en particulier chez les enfants et les adolescents - induire une</w:t>
      </w:r>
    </w:p>
    <w:p>
      <w:r>
        <w:t>- 6 -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(ATF 131 IV 167 consid. 3.1 et les références citées ; TF 6B_59/2021 du 12 novembre 2021 consid. 2.2 ; TF 6B_1307/2020 du 19 juillet 2021 consid. 2.1). 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(ATF 131 IV 167 consid. 3.1).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 TF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w:t>
      </w:r>
    </w:p>
    <w:p>
      <w:r>
        <w:t>- 7 - comportement laissant craindre des actes de violence à l'encontre de la victime ou de tiers (ATF 131 IV 167 consid. 3.1 ; TF 6B_488/2021 du 22 décembre 2021 consid. 5.4.2 ; TF 6B_326/2019 du 14 mai 2019 consid. 3.3.1). Sur le plan subjectif, la contrainte sexuelle et le viol sont des infractions intentionnelles, le dol éventuel étant suffisant dans les deux cas. L'auteur doit savoir que la victime n'est pas consentante ou en accepter l'éventualité (ATF 148 IV 234 consid. 3.4 ; ATF 122 IV 100 consid. b ; TF 6B_367/2021 du 14 décembre 2021 consid. 2.2.2 : TF 6B_643/2021 du 21 septembre 2021 consid. 3.3.5 ; TF 6B_995/2020 du 5 mai 2021 consid. 2.1 ; TF 6B_583/2017 du 20 décembre 2017 consid. 3.4) ; une erreur sur les faits est ici concevable (Corboz, Les infractions en droit suisse, vol. I, 3e éd., Berne 2010, n. 23 ad art. 189 CP et les références citées). L’auteur doit être conscient du caractère sexuel et contraignant de son comportement (TF 6B_785/2011 du 29 juin 2012 consid. 3.1).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(ATF 148 IV 234 précité consid. 3.4 ; TF 6B_367/2021 précité consid. 2.2.2 ; TF 6B_1285/2018 du 11 février 2019 consid. 2.2 ; TF 6B_502/2017 du 16 avril 2018 consid. 2.1 ; TF 6B_968/2016 du 25 septembre 2017 consid. 2.1.2 ; CREP 31 janvier 2023/75 consid. 3.2).</w:t>
      </w:r>
    </w:p>
    <w:p>
      <w:r>
        <w:rPr>
          <w:b/>
        </w:rPr>
        <w:t>E. 2.4</w:t>
      </w:r>
    </w:p>
    <w:p>
      <w:r>
        <w:t>En l’espèce, le recourant ne conteste pas avoir été consentant, mais invoque une tromperie sur le genre. La question de savoir si une omission, en l’occurrence le fait de ne pas faire mention de son genre, peut être constitutive d’une contrainte au sens de l’art. 189 CP peut être</w:t>
      </w:r>
    </w:p>
    <w:p>
      <w:r>
        <w:t>- 8 - laissée ouverte. En effet, le recourant ne démontre pas que sa volonté de ne pas entretenir un acte homosexuel était reconnaissable par E.________. On ne peut donc pas retenir une volonté de tromper délibérément. Il ne rend pas non plus vraisemblable que celle-ci aurait déjoué une quelconque résistance en utilisant un moyen efficace et d’une certaine intensité au sens de la jurisprudence précitée. Bien au contraire, il reconnaît avoir pleinement consenti à l’acte sexuel perpétué dans les toilettes d’une boîte de nuit. Le recourant ne fait état d’aucune forme de contrainte physique ou verbale et ne prétend pas avoir subi de pressions psychiques qui l’auraient poussé à se laisser prodiguer une fellation. Ainsi, rien ne laisse supposer que E.________ ait été en mesure de savoir que le recourant n’aurait pas consenti à entretenir un acte sexuel avec une personne ayant l’apparence d’une femme mais disposant d’organes génitaux masculins. C’est uniquement après avoir réalisé que E.________ disposait de tels organes que le recourant aurait manifesté son désaccord et aurait quitté les lieux sans être retenu d’aucune manière. Compte tenu de la jurisprudence précitée et du fait que la contrainte fait partie des éléments constitutifs de l’infraction, il convient de retenir que les éléments constitutifs de l’art. 189 CP ne sont pas réunis.</w:t>
      </w:r>
    </w:p>
    <w:p>
      <w:r>
        <w:rPr>
          <w:b/>
        </w:rPr>
        <w:t>E. 2.5</w:t>
      </w:r>
    </w:p>
    <w:p>
      <w:r>
        <w:t>La jurisprudence citée par le recourant, à savoir l’ATF 148 IV 234, ne lui est d’aucun secours dans la mesure où dans cette affaire – qui concernait un shooting photo et vidéos - un expert psychiatre avait reconnu un état de sidération chez les victimes d’une part, et que, d’autre part, l’auteur avait admis dans des courriels à un ami qu’il montait tout un échafaudage pour attirer des jeunes femmes et les entraîner dans des relations sexuelles. Dans cet arrêt, le Tribunal fédéral avait notamment considéré que si les jeunes femmes n’avaient certes pas souhaité un rapprochement sexuel, cela ne suffisait toutefois pas encore pour retenir une infraction de contrainte sexuelle (art. 189 CP) ou de viol (art. 190 CP). Ces infractions exigent en effet non seulement qu'une personne subisse l'acte d'ordre sexuel ou l'acte sexuel alors qu'elle n’y consent pas, mais également qu'elle le subisse du fait d'une contrainte exercée par l'auteur (ATF 148 IV 234 consid. 3.3 et 3.8; TF 6B_800/2022 du 16 août 2023 consid. 13.2 ).</w:t>
      </w:r>
    </w:p>
    <w:p>
      <w:r>
        <w:t>- 9 - Dans ces conditions, la non-entrée en matière procède d’une correcte application de l’art. 310 al. 1 let. a CPP.</w:t>
      </w:r>
    </w:p>
    <w:p>
      <w:r>
        <w:rPr>
          <w:b/>
        </w:rPr>
        <w:t>E. 3</w:t>
      </w:r>
    </w:p>
    <w:p>
      <w:r>
        <w:t>En définitive, le recours, manifestement mal fondé, doit être rejeté sans échange d’écritures (art. 390 al. 2 CPP) et l’ordonnance attaquée confirmée. La cause étant dénuée de chances de succès (art. 136 al. 1 let. a CPP), la requête d’assistance judiciaire doit être rejetée. Les frais de la procédure de recours, constitués en l’espèce du seul émolument d’arrêt (art. 422 al. 1 CPP), par 880 fr. (art. 20 al. 1 TFIP [tarif des frais de procédure et indemnités en matière pénale du 28 septembre 2010 ; BLV 312.03.1]), seront mis à la charge du recourant (art. 428 al. 1 CPP). Par ces motifs, la Chambre des recours pénale prononce : I. Le recours est rejeté. II. L’ordonnance du 13 décembre 2023 est confirmée. III. La requête d’assistance judiciaire est rejetée. IV. Les frais d’arrêt, par 880 fr. (huit cent huitante francs), sont mis à la charge de J.________. V. L’arrêt est exécutoire. Le président : La greffière :</w:t>
      </w:r>
    </w:p>
    <w:p>
      <w:r>
        <w:t>- 10 - Du Le présent arrêt, dont la rédaction a été approuvée à huis clos, est notifié, par l'envoi d'une copie complète, à : - Me Lionel Zeiter, avocat (pour J.________), - Ministère public central, et communiqué à : - M. le Procureur de l’arrondissement du Nord vaudois, - Mme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