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PE23.022793 vom 29. Mai 2024</w:t>
      </w:r>
    </w:p>
    <w:p>
      <w:r>
        <w:t>VD Tribunal cantonal, 2024-05-29, FR</w:t>
      </w:r>
    </w:p>
    <w:p>
      <w:r>
        <w:rPr>
          <w:b/>
        </w:rPr>
        <w:t xml:space="preserve">Quelle: </w:t>
      </w:r>
      <w:r>
        <w:t>https://mcp.opencaselaw.ch/entscheid/vd_gerichte_PE23.022793</w:t>
      </w:r>
    </w:p>
    <w:p>
      <w:r>
        <w:t>FR: VD_GERICHTE PE23.022793 du 29 mai 2024</w:t>
      </w:r>
    </w:p>
    <w:p>
      <w:r>
        <w:t>IT: VD_GERICHTE PE23.022793 del 29 maggio 2024</w:t>
      </w:r>
    </w:p>
    <w:p>
      <w:pPr>
        <w:pStyle w:val="Heading2"/>
      </w:pPr>
      <w:r>
        <w:t>Erwägungen</w:t>
      </w:r>
    </w:p>
    <w:p>
      <w:r>
        <w:rPr>
          <w:b/>
        </w:rPr>
        <w:t>E. 1</w:t>
      </w:r>
    </w:p>
    <w:p>
      <w:r>
        <w:t>Déposé en temps utile (art. 396 al. 1 CPP [Code de procédure pénale suisse du 5 octobre 2007 ; RS 312.0]), dans les formes prescrites (art. 385 al. 1 CPP), contre une ordonnance de non-entrée en matière rendue par le ministère public (art. 393 al. 1 let. a CPP), par la plaignante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w:t>
      </w:r>
    </w:p>
    <w:p>
      <w:r>
        <w:t>- 5 -</w:t>
      </w:r>
    </w:p>
    <w:p>
      <w:r>
        <w:rPr>
          <w:b/>
        </w:rPr>
        <w:t>E. 2</w:t>
      </w:r>
    </w:p>
    <w:p>
      <w:r>
        <w:t>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6B_1444/2021 du 17 mai 2022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 ; TF 6B_541/2017 du 20 décembre 2017 consid. 2.2).</w:t>
      </w:r>
    </w:p>
    <w:p>
      <w:r>
        <w:rPr>
          <w:b/>
        </w:rPr>
        <w:t>E. 3</w:t>
      </w:r>
    </w:p>
    <w:p>
      <w:r>
        <w:t>- 6 -</w:t>
      </w:r>
    </w:p>
    <w:p>
      <w:r>
        <w:rPr>
          <w:b/>
        </w:rPr>
        <w:t>E. 3.1</w:t>
      </w:r>
    </w:p>
    <w:p>
      <w:r>
        <w:t>La recourante considère que le raisonnement du Ministère public concernant l’infraction de contrainte est incomplet et trop simpliste. Elle fait valoir les pressions et innombrables sollicitations qu’elle a subies de la part d’E.________ et de F.________, ainsi que l’ampleur de celles-ci, le fait qu’elle n’a plus eu la moindre nouvelle dès le moment où elle a versé les 120'000 fr. et le fait que les intéressés savaient que l’argent du crédit avait été versé sur son compte bancaire, ce qu’elle considère comme douteux.</w:t>
      </w:r>
    </w:p>
    <w:p>
      <w:r>
        <w:rPr>
          <w:b/>
        </w:rPr>
        <w:t>E. 3.2</w:t>
      </w:r>
    </w:p>
    <w:p>
      <w:r>
        <w:t>Selon l'art. 181 CP, se rend coupable de contrainte et sera puni d’une peine privative de liberté de trois ans au plus ou d’une peine pécuniaire, quiconque, en usant de violence envers une personne ou en la menaçant d'un dommage sérieux, ou en l'entravant de quelque autre manière dans sa liberté d'action, l'oblige à faire, à ne pas faire ou à laisser faire un acte. La menace d'un dommage sérieux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w:t>
      </w:r>
    </w:p>
    <w:p>
      <w:r>
        <w:t>- 7 - de moyens de contrainte qui, par leur intensité et leur effet, sont analogues à ceux qui sont cités expressément par la loi (ATF 141 IV 437 consid. 3.2.1 ; ATF 137 IV 326 consid. 3.3.1 ; TF 6B_637/2022 du 29 septembre 2022 consid. 5.1.2 ; TF 6B_1396/2021 du 28 juin 2022 consid. 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134 IV 216 consid. 4.1).</w:t>
      </w:r>
    </w:p>
    <w:p>
      <w:r>
        <w:rPr>
          <w:b/>
        </w:rPr>
        <w:t>E. 3.3</w:t>
      </w:r>
    </w:p>
    <w:p>
      <w:r>
        <w:t>En l’espèce, la recourante ne mentionne pas en quoi E.________ et/ou F.________ auraient usé de violence envers elle, l’auraient menacée d'un dommage sérieux ou l’auraient entravée de quelque autre manière dans sa liberté d'action. Elle explique en revanche que ceux-ci sont devenus « très pressants », qu’ils la contactaient « régulièrement par téléphone et messages certains jours à de nombreuses reprises » pour qu’elle leur transmette des informations et qu’ils ont fait « pression sur elle » pour qu’elle signe les documents relatifs à la demande de crédit (P. 4, ch. 4 et 5). Or ces comportements ne sont assimilables à aucun des moyens de contrainte prévus par l’art. 181 CP. En effet, la recourante n’a jamais été entravée dans sa liberté d’action et pouvait résister aux nombreux téléphones et messages qu’elle prétend avoir reçus. Elle a volontairement et consciemment accepté de signer un contrat de crédit de 130'000 fr., de verser le montant de 120'000 fr. sur le compte de la société A.________SA et de signer un « contrat de vente de parts sociales ». En outre, dans la mesure où la recourante avait mandaté E.________ et F.________ pour qu’ils effectuent toutes les démarches nécessaires à l’octroi du crédit (« M. E.________ et/ou F.________ se sont chargés de faire toutes les démarches auprès de R.________Sàrl » ; P. 4, ch. 3), il n’apparaît pas anormal que ceux-ci aient su que le montant demandé avait été versé sur son compte bancaire.</w:t>
      </w:r>
    </w:p>
    <w:p>
      <w:r>
        <w:t>- 8 - Dans ces conditions, c’est à bon droit que le Ministère public a considéré que les éléments constitutifs de l’infraction de contrainte n’étaient manifestement pas remplis.</w:t>
      </w:r>
    </w:p>
    <w:p>
      <w:r>
        <w:rPr>
          <w:b/>
        </w:rPr>
        <w:t>E. 4.1</w:t>
      </w:r>
    </w:p>
    <w:p>
      <w:r>
        <w:t>Concernant l’infraction d’escroquerie, la recourante allègue que le modus operandi d’E.________ et de F.________ a été passablement nébuleux et qu’elle a subi des pressions de la part de ceux-ci.</w:t>
      </w:r>
    </w:p>
    <w:p>
      <w:r>
        <w:rPr>
          <w:b/>
        </w:rPr>
        <w:t>E. 4.2</w:t>
      </w:r>
    </w:p>
    <w:p>
      <w:r>
        <w:t>Aux termes de l'art. 146 al. 1 CP, se rend coupable d’escroquerie et sera puni d’une peine privative de liberté de cinq ans au plus ou d’une peine pécuniaire,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4.3 ; ATF 128 IV 18 consid. 3a).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w:t>
      </w:r>
    </w:p>
    <w:p>
      <w:r>
        <w:t>- 9 - une victime faisant preuve d’esprit critique se laisse tromper (Dupuis et alii, Petit Commentaire du Code pénal, 2e éd., Bâle 2017, nn. 11 ss ad art. 146 CP et les réf.).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enfin, entre ce dernier et un dommage (ATF 128 IV 256 consid. 2 ; ATF 115 IV 32 consid. 3a ; Corboz, Les infractions en droit suisse, vol. I, 3e éd., Berne 2010, nn. 31 et 38 ad art. 146 CP ; Dupuis et alii, op. cit., n. 32 ad art. 146 CP).</w:t>
      </w:r>
    </w:p>
    <w:p>
      <w:r>
        <w:rPr>
          <w:b/>
        </w:rPr>
        <w:t>E. 4.3</w:t>
      </w:r>
    </w:p>
    <w:p>
      <w:r>
        <w:t>En l’espèce, la recourante allègue qu’E.________ et F.________ lui ont proposé d’acheter des actions de la société A.________SA et ont insisté par téléphone et par messages WhatsApp pour qu’elle donne une suite favorable à leur proposition. E.________ et F.________ n’ont donc pas recouru à un édifice de mensonges, à des manœuvres frauduleuses ou à une mise en scène pour qu’elle fasse affaire avec eux. La recourante ne prétend en outre pas qu’elle leur aurait posé des questions auxquelles ils n’auraient pas ou faussement répondu. Il n’existait par ailleurs aucun lien de confiance particulier entre elle et les intéressés qui l’aurait dissuadée de procéder aux vérifications élémentaires. Il apparaît bien plutôt que la perspective de gains prétendument très importants l’ait conduite à agir dans la précipitation et à faire preuve de légèreté : elle a eu des contacts avec un dénommé F.________, dont elle n’a pas jugé utile de connaître le nom de famille et dont elle pouvait se demander à quel titre il intervenait dans les négociations, dès lors que sa position d’actionnaire ne lui accordait a priori pas le pouvoir de représenter la société A.________SA ; il ne semble pas d’ailleurs qu’elle se soit renseignée sur la société avant de contracter le crédit, alors qu’une simple consultation sur Internet lui aurait permis de constater que la société n’en était qu’à ses balbutiements ; elle a sollicité un crédit de 130'000 fr. avant de connaître le contenu du « contrat de vente des parts sociales » ; elle a versé les 120'000 fr. avant</w:t>
      </w:r>
    </w:p>
    <w:p>
      <w:r>
        <w:t>- 10 - de signer le contrat de vente ; et il semble qu’elle n’ait même pas pris le temps de lire attentivement le contrat de crédit ni même demandé une photocopie de celui-ci, puisqu’elle indique dans sa plainte n’avoir compris qu’après coup, soit grâce aux documents fournis par R.________Sàrl, que le crédit avait été accordé par la société S.________SA, alors que le logo et le nom de cette dernière société figuraient sur les pages du contrat et qu’elle a apposé sa signature au bas du document (P. 6/6). Le comportement d’E.________ et de F.________ n’est par conséquent pas constitutif d’escroquerie.</w:t>
      </w:r>
    </w:p>
    <w:p>
      <w:r>
        <w:rPr>
          <w:b/>
        </w:rPr>
        <w:t>E. 5.1</w:t>
      </w:r>
    </w:p>
    <w:p>
      <w:r>
        <w:t>Concernant l’infraction d’abus de confiance, la recourante fait valoir que le Ministère public n’a pas examiné si la somme de 120'000 fr. avait été utilisée selon la destination pour laquelle elle avait été confiée à A.________SA, d’autant qu’elle n’a plus reçu la moindre nouvelle depuis qu’elle a fait le versement, ce qui tend à démontrer que l’argent n’aurait pas été utilisé conformément à ce qui avait été prévu.</w:t>
      </w:r>
    </w:p>
    <w:p>
      <w:r>
        <w:rPr>
          <w:b/>
        </w:rPr>
        <w:t>E. 5.2</w:t>
      </w:r>
    </w:p>
    <w:p>
      <w:r>
        <w:t>Selon l’art. 138 ch. 1 CP, se rend coupable d’abus de confiance et sera puni d’une peine privative de liberté de cinq ans au plus ou d’une peine pécuniaire, quiconque, pour se procurer ou procurer à un tiers un enrichissement illégitime, s’approprie une chose mobilière appartenant à autrui et qui lui a été confiée, ou quiconque, sans droit, emploie à son profit ou au profit d’un tiers des valeurs patrimoniales qui lui ont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L'abus de confiance implique que l'auteur ait utilisé, sans droit, à son profit ou au profit d'un tiers, les valeurs patrimoniales qui lui</w:t>
      </w:r>
    </w:p>
    <w:p>
      <w:r>
        <w:t>- 11 - avaient été confiées.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(ATF 129 IV 257 consid. 2.2.2 ; ATF 124 IV</w:t>
      </w:r>
    </w:p>
    <w:p>
      <w:r>
        <w:rPr>
          <w:b/>
        </w:rPr>
        <w:t>E. 5.3</w:t>
      </w:r>
    </w:p>
    <w:p>
      <w:r>
        <w:t>En l’espèce, on constate d’abord que certains termes et dispositions du « contrat de vente de parts sociales » sont pour le moins étranges : le contrat fait référence à des « parts sociales », alors que la société A.________SA est une société anonyme. Le contrat indique d’autre part que la recourante achète des « parts sociales » pour un total de 400'000 fr., correspondant à 10 % de la société, ce qui revient à dire que le capital-actions de celle-ci se monterait à 4'000'000 fr., ce dont on peut douter dans la mesure où la société n’était active que depuis le 16 mars 2023. La recourante ne fait d’ailleurs pas état dans sa plainte de</w:t>
      </w:r>
    </w:p>
    <w:p>
      <w:r>
        <w:t>- 12 - l’acquisition d’un montant en capital-actions de 400'000 fr. et donc d’un solde à payer de 280'000 fr. au 31 décembre 2023. Dans ces conditions, il apparaît justifié de recueillir des explications de la part des actionnaires et administrateurs de la société afin d’éclaircir la composition du capital-actions et l’utilisation qui a été faite de la somme de 120'000 fr. investie par la recourante, ce d’autant qu’elle n’aurait pas reçu d’actions en contrepartie. Les parties devront également expliquer comment il était prévu que la recourante finance les 280'000 fr. restants. En conséquence, la Procureure devra procéder à toute mesure d’instruction qu’elle estimera utile à la recherche de la vérité. 6. S’agissant de la création d’une adresse électronique au nom de la recourante, le Ministère public a retenu qu’il doutait que E.________ et F.________ eussent créé l’adresse électronique à l’insu de la plaignante. Or celle-ci ne motive pas en quoi cette appréciation serait erronée, de sorte qu’il n’y a pas lieu d’examiner la non-entrée en matière sur ce point. S’agissant de l’infraction de dénonciation calomnieuse, le Ministère public a retenu qu’il était compréhensible qu’E.________ ait été effrayé en se trouvant face à la recourante et trois hommes qu’il ne connaissait pas, de sorte qu’E.________ n’avait pas agi dans le but de dénoncer des personnes qu’il savait innocentes, mais parce qu’il avait eu peur de leur comportement et s’était senti légitimé à le faire. Or la recourante ne motive pas en quoi cette appréciation ne serait pas correcte, de sorte qu’il n’y a pas lieu d’examiner la non-entrée en matière sur ce point. 7. Il résulte de ce qui précède que le recours doit être partiellement admis et l’ordonnance entreprise partiellement annulée en tant qu’elle vaut non-entrée en matière sur l’infraction d’abus de confiance. Elle est confirmée pour le surplus.</w:t>
      </w:r>
    </w:p>
    <w:p>
      <w:r>
        <w:t>- 13 - Vu que la recourante obtient partiellement gain de cause, les frais de la procédure de recours, par 1'320 fr. (art. 20 al. 1 TFIP [tarif des frais de procédure et indemnités en matière pénale du 28 septembre 2010 ; BLV 312.03.1]), seront mis à sa charge par deux tiers, soit par 880 fr., le solde étant laissé à la charge de l’Etat. L'avance de frais de 770 fr. versée par la recourante à titre de sûretés sera imputée sur les frais de procédure mis à sa charge (art. 7 TFIP), le solde en faveur de l’Etat s’élevant à 110 francs. La recourante, qui a procédé avec l’assistance d’un avocat de choix, a droit à une indemnité réduite de deux tiers pour les dépenses obligatoires occasionnées par la procédure de recours (art. 433 al. 1 let. a CPP par renvoi de l’art. 436 al. 1 CPP). Vu le travail accompli par l’avocat- stagiaire Blaise Dagon, il sera retenu 6 h d’activité au tarif horaire de 160 fr. (art. 26a al. 3 TFIP) et 30 min. d’activité pour Me David Parisod au tarif horaire de 300 fr., soit un émolument de 1'110 francs. Il faut y ajouter 2 % pour les débours (art. 19 al. 2 TDC [tarif des dépens en matière civile du 23 novembre 2010 ; BLV 270.11.6] par renvoi de l’art. 26a al. 6 TFIP), soit 22 fr. 20, et la TVA de 8,1 % sur le tout, soit 91 fr. 70, de sorte que l’indemnité s’élève à 408 fr. en chiffres ronds (1'223 fr. 90 / 3). Cette indemnité sera laissée à la charge de l’Etat. Selon l'art. 442 al. 4 CPP, le solde des frais d'arrêt mis à la charge de la recourante à hauteur de 110 fr. sera compensé avec l’indemnité de 408 fr. qui lui est allouée, si bien que le solde dû par l’Etat à X.________ s’élève à 298 francs. Par ces motifs, la Chambre des recours pénale prononce : I. Le recours est partiellement admis. II. L’ordonnance du 20 mars 2023 est annulée en tant qu’elle vaut non-entrée en matière sur l’infraction d’abus de confiance. L’ordonnance est confirmée pour le surplus.</w:t>
      </w:r>
    </w:p>
    <w:p>
      <w:r>
        <w:t>- 14 - III. Le dossier de la cause est renvoyé au Ministère public de l’arrondissement de Lausanne pour qu’il procède dans le sens des considérants. IV. Les frais d’arrêt, par 1'320 fr. (mille trois cent vingt francs), sont mis par deux tiers, soit par 880 fr. (huit cent huitante francs), à la charge de X.________, le solde étant laissé à la charge de l’Etat. V. Le montant de 770 fr. (sept cent septante francs) versé par X.________ à titre de sûretés est imputé sur les frais de procédure mis à sa charge au chiffre IV ci-dessus, le solde dû par X.________ à l’Etat s’élevant à 110 fr. (cent dix francs). VI. Une indemnité réduite de 408 fr. (quatre cent huit francs) est allouée à X.________ pour la procédure de recours, à la charge de l'Etat. VII. Le solde des frais d’arrêt mis à la charge de X.________ au chiffre V ci-dessus est compensé avec l’indemnité réduite qui lui est allouée au chiffre VI ci-dessus, le solde dû par l’Etat à X.________ s’élevant à 298 fr. (deux cent nonante-huit francs). VIII. L’arrêt est exécutoire. Le président : La greffière : Du Le présent arrêt, dont la rédaction a été approuvée à huis clos, est notifié, par l'envoi d'une copie complète, à : - Me David Parisod, avocat (pour X.________), - Ministère public central,</w:t>
      </w:r>
    </w:p>
    <w:p>
      <w:r>
        <w:t>- 15 - et communiqué à : - Mme la Procureure du Ministère public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9</w:t>
      </w:r>
    </w:p>
    <w:p>
      <w:r>
        <w:t>consid. 1 ; ATF 120 IV 117 consid. 2). Du point de vue subjectif, l'auteur doit avoir agi intentionnellement et dans un dessein d'enrichissement illégitime. Cette dernière condition est remplie lorsque celui qui devait tenir en tout temps le bien confié à disposition de l'ayant droit l'a utilisé à son profit ou au profit d'un tiers sans avoir à tout moment la volonté et la possibilité de le restituer immédiatement (ATF 118 IV 27 consid. 3a). S'il devait le tenir à disposition de l'ayant droit à un moment déterminé ou à l'échéance d'un délai déterminé, il doit avoir eu la volonté et la possibilité de le restituer à ce moment ou à cette échéance (ATF 118 IV 27 consid. 3a ; ATF 118 IV 32 consid. 2a). Le dessein d'enrichissement peut être réalisé par dol éventuel (ATF 118 IV 32 consid.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