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PE23.022405 vom 2. Mai 2024</w:t>
      </w:r>
    </w:p>
    <w:p>
      <w:r>
        <w:t>VD Tribunal cantonal, 2024-05-02, FR</w:t>
      </w:r>
    </w:p>
    <w:p>
      <w:r>
        <w:rPr>
          <w:b/>
        </w:rPr>
        <w:t xml:space="preserve">Quelle: </w:t>
      </w:r>
      <w:r>
        <w:t>https://mcp.opencaselaw.ch/entscheid/vd_gerichte_PE23.022405</w:t>
      </w:r>
    </w:p>
    <w:p>
      <w:r>
        <w:t>FR: VD_GERICHTE PE23.022405 du 2 mai 2024</w:t>
      </w:r>
    </w:p>
    <w:p>
      <w:r>
        <w:t>IT: VD_GERICHTE PE23.022405 del 2 maggio 2024</w:t>
      </w:r>
    </w:p>
    <w:p>
      <w:pPr>
        <w:pStyle w:val="Heading2"/>
      </w:pPr>
      <w:r>
        <w:t>Erwägungen</w:t>
      </w:r>
    </w:p>
    <w:p>
      <w:r>
        <w:rPr>
          <w:b/>
        </w:rPr>
        <w:t>E. 1</w:t>
      </w:r>
    </w:p>
    <w:p>
      <w:r>
        <w:t>Les parties peuvent attaquer une ordonnance de non-entrée en matière rendue par le Ministère public en application de l’art. 310 CPP</w:t>
      </w:r>
    </w:p>
    <w:p>
      <w:r>
        <w:t>- 5 -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dans le délai légal auprès de l’autorité compétente, par la plaignante, qui a qualité pour recourir (art. 382 al. 1 CPP). Il satisfait en outre aux conditions de forme prescrites (art. 385 al. 1 CPP), de sorte qu’il est recevable.</w:t>
      </w:r>
    </w:p>
    <w:p>
      <w:r>
        <w:rPr>
          <w:b/>
        </w:rPr>
        <w:t>E. 2.1</w:t>
      </w:r>
    </w:p>
    <w:p>
      <w:r>
        <w:t>En l'occurrence, Q.________ se plaint d'une violation de l'art. 310 al. 1 let. a CPP. Elle fait valoir que le Ministère public ne pouvait pas rendre une ordonnance de non-entrée en matière sans procéder au moindre acte d'instruction et en estimant, par appréciation anticipée arbitraire des preuves, que le courriel litigieux était "grotesque" et n'amènerait "aucune personne douée de raison à penser que le médecin visé ait pu commettre un acte blâmable au point de la rendre méprisable", ni d'ailleurs qu'il n'était " pas soutenable d'imaginer que le médecin et son assureur se plient à la demande de verser 60'000 francs sur la base d'un courriel aussi peu sérieux et sans le moindre élément amenant le début d'un soupçon de violation des règles de l'art médical ou d'une infraction pénale". Elle soutient que le comportement reproché par P.________ dans son courriel porterait atteinte à son honneur, sa réputation dans son activité professionnelle étant critiquée dans une mesure largement excessive. Elle rappelle qu'elle exerce la profession de médecin, que P.________ s'est adressée à son assureur responsabilité civile et que, dans ce contexte particulier – dont l'autorité intimée ne pouvait pas faire fi – toute accusation de ce type par un proche d'une patiente devait être prise</w:t>
      </w:r>
    </w:p>
    <w:p>
      <w:r>
        <w:t>- 6 - au sérieux. Par ailleurs, elle rappelle que P.________ s'est également adressée, en l'absence du paiement de la somme demandée, au Médecin cantonal pour la dénoncer pour une prétendue violation des règles de l'art. Elle fait encore valoir que le fait qu'elle et son assureur n'aient pas plié devant cette demande n'enlève rien au fait que l'infraction en cause peut être réalisée au stade de la tentative de contrainte, ce que le Ministère public n'a pas examiné. Ainsi, au vu des éléments contenus dans sa plainte pénale du 29 septembre 2023 et de la pièce produite à son appui, le Ministère public ne pouvait pas, à ce stade, exclure que P.________ ait adopté un comportement constitutif de contrainte. Les termes utilisés par cette dernière, bien qu'effectivement rédigés dans un français comprenant des fautes, étaient parfaitement compréhensibles pour tout être doué de raison. Enfin, P.________ a mis la menace de continuer la procédure faute de paiement à exécution, ce qui était susceptible de lui causer un dommage sérieux.</w:t>
      </w:r>
    </w:p>
    <w:p>
      <w:r>
        <w:rPr>
          <w:b/>
        </w:rPr>
        <w:t>E. 2.1.1</w:t>
      </w:r>
    </w:p>
    <w:p>
      <w:r>
        <w:t>; ATF 132 IV 112 consid. 2.1).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et les réf. cit.).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w:t>
      </w:r>
    </w:p>
    <w:p>
      <w:r>
        <w:t>- 8 -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 _974/2018 du 20 décembre 2018 consid. 2.2). Pour qu'il y ait diffamation, il faut que l'auteur s'adresse à un tiers. Est en principe considérée comme tiers toute personne autre que l'auteur et l'objet des propos qui portent atteinte à l'honneur (ATF 145 IV 462 consid. 4.3.3). En font également partie, en principe, les personnes soumises au secret professionnel de l’art. 321 CP (soit notamment les avocats, médecins, pharmaciens, psychologues ainsi que leurs auxiliaires) ou de très proches parents de l’auteur (TF 6B_69/2016 consid. 2.1.1 ; TF 6S.3/2007 du 13 février 2007 consid. 4.3 et les réf. cit.). Le Tribunal fédéral a examiné si, parmi ces deux catégories de confidents, il ne fallait pas admettre que certains d’entre eux devaient être exclus du cercle des tiers, au motif qu’ils étaient des « confidents nécessaires » ; même critiqué par la doctrine, le Tribunal fédéral a maintenu sa jurisprudence, selon laquelle le cercle des personnes considérées comme tiers ne doit pas être limité (cf. pour les avocats : ATF 148 IV 409 consid. 2.3 ; ATF 145 IV 462 consid. 4.3.3 ; pour les membres de la famille proche, cf. TF 6B_69/2016 du 29 septembre 2016 consid. 2.1.1 ; pour une casuistique complète, cf. Trechsel/Lehmkuhl, in : Trechsel/Pieth [éd.], Schweizerisches Strafgesetzbuch, Praxiskommentar, 4e éd. 2021 n. 4 ad art. 173 CP). Du point de vue subjectif, l’art. 173 ch. 1 CP exige que l’auteur ait eu conscience du caractère attentatoire à l’honneur de ses propos et qu’il les ait néanmoins proférés ; il n’est pas nécessaire qu’il ait eu la volonté de blesser la personne visée (ATF 137 IV 313 consid. 2.1.6 ; TF 6B_541/2019 du 15 juillet 2019 consid. 2.1).</w:t>
      </w:r>
    </w:p>
    <w:p>
      <w:r>
        <w:t>- 9 -</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7B_2/2022 du 24 octobre 2023 consid. 2.1.1) et signifie qu'en principe, un classement ou une non-entrée en matière ne peuvent être prononcés par le Ministère public que lorsqu'il apparaît clairement que les faits ne sont pas</w:t>
      </w:r>
    </w:p>
    <w:p>
      <w:r>
        <w:t>- 7 - punissables ou que les conditions à la poursuite pénale ne sont pas remplies (ATF 146 IV 68 consid. 2.1 ; TF 7B_2/2022 précité).</w:t>
      </w:r>
    </w:p>
    <w:p>
      <w:r>
        <w:rPr>
          <w:b/>
        </w:rPr>
        <w:t>E. 2.2.2</w:t>
      </w:r>
    </w:p>
    <w:p>
      <w:r>
        <w:t>Aux termes de l'art. 173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w:t>
      </w:r>
    </w:p>
    <w:p>
      <w:r>
        <w:rPr>
          <w:b/>
        </w:rPr>
        <w:t>E. 2.2.3</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précité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w:t>
      </w:r>
    </w:p>
    <w:p>
      <w:r>
        <w:t>- 10 - pression abusif ou contraire aux mœurs (ATF 141 IV 437 précité consid. 3.2.1 ; ATF 137 IV 326 précité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du 18 mars 2022 consid. 2.1 ; TF 6B_124/2017 du 27 octobre 2017 consid. 2.1). Lorsque la victime ne se laisse pas intimider et n'adopte pas le comportement voulu par l'auteur, ce dernier est punissable de tentative de contrainte (art. 22 al. 1 CP ; ATF 129 IV 262 ; ATF 106 IV 125 précité consid. 2b). Pour qu'il y ait tentative de contrainte, il faut que l'auteur ait agi avec conscience et volonté, soit au moins qu'il ait accepté l'éventualité que le procédé illicite employé entrave le destinataire dans sa liberté de décision (ATF 120 IV 17 précité consid. 2c).</w:t>
      </w:r>
    </w:p>
    <w:p>
      <w:r>
        <w:rPr>
          <w:b/>
        </w:rPr>
        <w:t>E. 2.3</w:t>
      </w:r>
    </w:p>
    <w:p>
      <w:r>
        <w:t>En l'occurrence, une erreur a été commise au sein du Ministère public et la plainte déposée par Q.________ a été enregistrée sous deux numéros distincts, à savoir PE23.022405-SJH et PE23.021347-AYP. Le procureur admet cette erreur mais rappelle, à juste titre, que le fait de demander à la police de procéder à l'audition d'une plaignante n’équivaut pas à l’ouverture d’une instruction, cette opération ne dépassant manifestement pas le cadre des investigations qui peuvent être effectuées avant que le Ministère public ouvre une instruction. En outre, le mandat</w:t>
      </w:r>
    </w:p>
    <w:p>
      <w:r>
        <w:t>- 11 - délivré à la police a été annulé, de sorte qu'aucune opération, si ce n'est une prise de contact préalable en vue d'une audition de la plaignante, n'a été effectuée. Par ailleurs, on ne saurait déduire de l'attribution d'un numéro à une plainte pénale qu'une instruction a été ouverte, mais uniquement que la plainte a été reçue et enregistrée par l'autorité. Au vu de ces éléments, le Ministère public était fondé, sur la forme, à rendre une ordonnance de non-entrée en matière, étant précisé que rien au dossier ne montre que la procureure [...] aurait envisagé plus que l'audition de Q.________ et des investigations policières avant ouverture d'une instruction. Sur le fond, si on peut suivre le Ministère public lorsqu'il explique que l’accusation formulée par P.________ auprès de l'assureur responsabilité civile de Q.________ de « tentative de meurtre et de blessure intentionnelle » en relation avec la vaccination d'un enfant paraît grotesque, il faut toutefois relever ce qui suit. Premièrement, cette accusation était accompagnée d'une demande de dédommagement d'un montant de 60'000 francs, avec la précision suivante : "Si ça marche, alors je peux signer un accord de non-poursuite et clore complètement cette affaire. Si les trois parties ne parviennent pas à un accord, l'affaire devra continuer". Deuxièmement, P.________ a – selon la plaignante en réaction au non-paiement du montant requis –, interpellé l'Office du Médecin cantonal pour dénoncer une éventuelle violation des règles de l'art (en relation avec la première dose de vaccin contre le virus du papillome humain qui aurait été périmé depuis trois ans lors de son administration à sa fille) (P. 7/2/4). Au vu de ces éléments on ne saurait d'emblée considérer, sans au moins entendre Q.________, que cette dernière ne paraît pas avoir été effrayée par la menace proférée par P.________. Par ailleurs, la saisine de l'Office du Médecin cantonal et la demande de renseignement qui en a découlé semblent montrer qu'un certain crédit a pu être accordé aux déclarations de P.________, de sorte que l'on ne saurait suivre le procureur lorsqu'il affirme que l'écrit litigieux n’amènerait aucune personne douée</w:t>
      </w:r>
    </w:p>
    <w:p>
      <w:r>
        <w:t>- 12 - de raison à penser que le médecin visé ait pu commettre un acte blâmable au point de le rendre méprisable. Enfin, P.________ parait avoir eu des échanges avec l'assureur en responsabilité civile de la plaignante avant le courriel du 1er juillet 2023 ; or seul celui-ci figure au dossier, de sorte que l'on ne connaît pas la teneur et la portée des envois précédents. Cela étant, on ne peut exclure à ce stade la commission des infractions de diffamation et de tentative de contrainte. Au vu de ce qui précède, il convient de renvoyer le dossier au Ministère public afin de clarifier les faits, en procédant notamment à l’audition de la plaignante et en requérant les documents utiles.</w:t>
      </w:r>
    </w:p>
    <w:p>
      <w:r>
        <w:rPr>
          <w:b/>
        </w:rPr>
        <w:t>E. 3</w:t>
      </w:r>
    </w:p>
    <w:p>
      <w:r>
        <w:t>En définitive, le recours doit être admis, l’ordonnance querellée annulée et le dossier de la cause renvoyé au Ministère public de l'arrondissement de Lausanne pour qu’il procède dans le sens des considérants. Vu le sort du recours, les frais de la procédure, constitués en l’espèce de l’émolument d’arrêt, par 1'320 fr. (art. 20 al. 1 TFIP), seront laissés à la charge de l’Etat (art. 428 al. 4 CPP).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Au vu du mémoire produit, cette indemnité sera fixée, pour l’année 2023, à 900 fr., sur la base d’une durée d'activité nécessaire de 3 heures au tarif horaire de 300 francs. A ces honoraires il convient d’ajouter des débours forfaitaires à concurrence de 2 % (art. 3bis al. 1 RAJ [règlement sur l’assistance judiciaire en matière civile du 7 décembre 2010 ; BLV 211.02.3], applicable par renvoi de l’art. 26b TFIP [tarif des frais de</w:t>
      </w:r>
    </w:p>
    <w:p>
      <w:r>
        <w:t>- 13 - procédure et indemnités en matière pénale du 28 septembre 2010 ; BLV 312.03.1]), par 18 fr., et 7,7% de TVA, s’agissant uniquement d’opérations antérieures au 1er janvier 2024, par 70 fr. 70, soit 988 fr. 70 au total. Pour les opérations effectuées dès le 1er janvier 2024, on ajoutera encore 1 heure, soit 300 fr., auxquels s’ajoutent 2% de débours, par 6 fr. et 8,1% de TVA, par 24 fr. 80, soit 330 fr. 80 au total. L’indemnité globale se chiffre par conséquent à 1'320 fr. en chiffres arrondis. Elle sera laissée à la charge de l'Etat. Par ces motifs, la Chambre des recours pénale prononce : I. Le recours est admis. II. L'ordonnance du 23 novembre 2023 est annulée. III. Le dossier de la cause est renvoyé au Ministère public de l’arrondissement de Lausanne pour qu’il procède dans le sens des considérants. IV. Une indemnité de 1'320 fr. (mille trois cent vingt francs) est allouée à la recourante Q.________ pour la procédure de recours, à la charge de l’Etat. V. Les frais d’arrêt, par 1'320 fr. (mille trois cent vingt francs), sont laissés à la charge de l’Etat. VI. L’arrêt est exécutoire. Le président : La greffière : Du Le présent arrêt, dont la rédaction a été approuvée à huis clos, est notifié, par l'envoi d'une copie complète, à : - Me Mathieu Genillod, avocat (pour Q.________), - Ministère public central,</w:t>
      </w:r>
    </w:p>
    <w:p>
      <w:r>
        <w:t>- 14 -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