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PE23.021983 vom 24. Februar 2024</w:t>
      </w:r>
    </w:p>
    <w:p>
      <w:r>
        <w:t>VD Tribunal cantonal, 2024-02-24, FR</w:t>
      </w:r>
    </w:p>
    <w:p>
      <w:r>
        <w:rPr>
          <w:b/>
        </w:rPr>
        <w:t xml:space="preserve">Quelle: </w:t>
      </w:r>
      <w:r>
        <w:t>https://mcp.opencaselaw.ch/entscheid/vd_gerichte_PE23.021983</w:t>
      </w:r>
    </w:p>
    <w:p>
      <w:r>
        <w:t>FR: VD_GERICHTE PE23.021983 du 24 février 2024</w:t>
      </w:r>
    </w:p>
    <w:p>
      <w:r>
        <w:t>IT: VD_GERICHTE PE23.021983 del 24 febbraio 2024</w:t>
      </w:r>
    </w:p>
    <w:p>
      <w:pPr>
        <w:pStyle w:val="Heading2"/>
      </w:pPr>
      <w:r>
        <w:t>Erwägungen</w:t>
      </w:r>
    </w:p>
    <w:p>
      <w:r>
        <w:rPr>
          <w:b/>
        </w:rPr>
        <w:t>E. 1</w:t>
      </w:r>
    </w:p>
    <w:p>
      <w:r>
        <w:t>Dès lors que le recours porte uniquement sur les conséquences économiques accessoires d’une décision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Aux termes de l’art. 376 CPP, une procédure de confiscation indépendante est introduite lorsque la confiscation d’objets ou de valeurs patrimoniales d’une personne déterminée doit être décidée indépendamment d’une procédure pénale. Selon l’art. 377 CPP, les objets ou les valeurs patrimoniales qui seront probablement confisqués dans une procédure indépendante sont séquestrés (al. 1). Si les conditions de la confiscation sont remplies, le Ministère public rend une ordonnance de confiscation ; il donne à la personne concernée l’occasion de s’exprimer (al. 2). Si les conditions ne sont pas réunies, il prononce le classement de la procédure et restitue les objets ou les valeurs patrimoniales à l’ayant droit (al. 3). La procédure d’opposition est régie par les dispositions sur l’ordonnance pénale. Le tribunal statue sous la forme d’un jugement. Il peut être formé appel contre sa décision (al. 4). Le recours n'est pas ouvert contre une décision de confiscation, qu'elle soit prise à l'occasion d'une ordonnance pénale (art.</w:t>
      </w:r>
    </w:p>
    <w:p>
      <w:r>
        <w:t>- 4 - 353 al. 1 let. h CPP et art. 354 al. 1 CPP) ou pour elle-même (art. 376 CPP et 377 al. 4 CPP). Dans cette configuration, la décision portant sur la confiscation doit être contestée par la voie de l'opposition (TF 6B_1093/2015 du 28 juillet 2016 consid. 1.1).</w:t>
      </w:r>
    </w:p>
    <w:p>
      <w:r>
        <w:rPr>
          <w:b/>
        </w:rPr>
        <w:t>E. 2.2</w:t>
      </w:r>
    </w:p>
    <w:p>
      <w:r>
        <w:t>En l’espèce, le Ministère public a ordonné la confiscation contestée sous la forme d’une décision judiciaire ultérieure indépendante au sens des art. 363 ss CPP. Or, pour contester une confiscation indépendante d’une procédure pénale (cf. art. 376 CPP) ordonnée par le Ministère public, seule la voie de l’opposition est ouverte en application de l’art. 377 al. 4 CPP. Il appartient ainsi au Ministère public et non à la Chambre de céans de traiter l’acte déposé le 7 février 2024 par W.________.</w:t>
      </w:r>
    </w:p>
    <w:p>
      <w:r>
        <w:rPr>
          <w:b/>
        </w:rPr>
        <w:t>E. 3</w:t>
      </w:r>
    </w:p>
    <w:p>
      <w:r>
        <w:t>Au vu de ce qui précède, le recours doit être déclaré irrecevable, sans échange d’écritures (art. 390 al. 2 CPP), et l’acte du 7 février 2024 transmis au Ministère public de l’arrondissement de l’Est vaudois comme objet de sa compétence. Vu le sort du recours, les frais de la procédure de recours, constitués en l’espèce du seul émolument d'arrêt (art. 422 al. 1 CPP), par 360 fr. (art. 20 al. 1 TFIP [tarif des frais de procédure et indemnités en matière pénale du 28 septembre 2010 ; BLV 312.03.1]), seront laissés à la charge de l’Etat (art. 423 al. 1 CPP). Par ces motifs, le Juge unique prononce : I. Le recours est irrecevable. II. L’acte du 7 février 2024 est transmis au Ministère public de l’arrondissement de l’Est vaudois comme objet de sa compétence.</w:t>
      </w:r>
    </w:p>
    <w:p>
      <w:r>
        <w:t>- 5 - III. Les frais d’arrêt, par 360 fr. (trois cent soixante francs), sont laissés à la charge de l’Etat. IV. L’arrêt est exécutoire. Le juge unique : La greffière : Du Le présent arrêt, dont la rédaction a été approuvée à huis clos, est notifié, par l'envoi d'une copie complète, à : - M. 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