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PE23.021700 vom 14. August 2024</w:t>
      </w:r>
    </w:p>
    <w:p>
      <w:r>
        <w:t>VD Tribunal cantonal, 2024-08-14, FR</w:t>
      </w:r>
    </w:p>
    <w:p>
      <w:r>
        <w:rPr>
          <w:b/>
        </w:rPr>
        <w:t xml:space="preserve">Quelle: </w:t>
      </w:r>
      <w:r>
        <w:t>https://mcp.opencaselaw.ch/entscheid/vd_gerichte_PE23.021700</w:t>
      </w:r>
    </w:p>
    <w:p>
      <w:r>
        <w:t>FR: VD_GERICHTE PE23.021700 du 14 août 2024</w:t>
      </w:r>
    </w:p>
    <w:p>
      <w:r>
        <w:t>IT: VD_GERICHTE PE23.021700 del 14 agosto 2024</w:t>
      </w:r>
    </w:p>
    <w:p>
      <w:pPr>
        <w:pStyle w:val="Heading2"/>
      </w:pPr>
      <w:r>
        <w:t>Erwägungen</w:t>
      </w:r>
    </w:p>
    <w:p>
      <w:r>
        <w:rPr>
          <w:b/>
        </w:rPr>
        <w:t>E. 1</w:t>
      </w:r>
    </w:p>
    <w:p>
      <w:r>
        <w:t>Interjeté en temps utile devant l'autorité compétente, contre une décision du Ministère public sujette à recours (art. 393 al. 1 let. a CPP), par une partie qui a qualité pour recourir (art. 382 al. 1 CPP) et satisfaisant aux exigences de forme prescrites (art. 385 al. 1 CPP), le recours est recevable, de même que les pièces nouvelles produites à son appui (art. 389 al. 3 CPP).</w:t>
      </w:r>
    </w:p>
    <w:p>
      <w:r>
        <w:rPr>
          <w:b/>
        </w:rPr>
        <w:t>E. 2.1</w:t>
      </w:r>
    </w:p>
    <w:p>
      <w:r>
        <w:t>La recourante reproche au Ministère public de lui avoir dénié la qualité de partie plaignante.</w:t>
      </w:r>
    </w:p>
    <w:p>
      <w:r>
        <w:rPr>
          <w:b/>
        </w:rPr>
        <w:t>E. 2.2</w:t>
      </w:r>
    </w:p>
    <w:p>
      <w:r>
        <w:t>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étant rappelé que les prétentions civiles doivent être élevées dans le délai fixé par la direction de la procédure conformément à l'art. 331 al. 2 CPP (cf. art. 123 al. 2 CPP dans sa teneur en vigueur depuis le 1er janvier 2024 [RO 2023 468]). Selon la jurisprudence, on ne peut pas exclure a priori le droit des parents de victimes d'abus sexuels à une indemnité pour tort moral, mais seules des atteintes d'une gravité exceptionnelle peuvent en justifier l'allocation (cf. TF 7B_931/2023 précité consid. 3.2 ; TF 7B_170/2023 du 15 novembre 2023 consid. 3.2, SJ 2024 I p. 352 ; TF 1B_512/2022 du 17</w:t>
      </w:r>
    </w:p>
    <w:p>
      <w:r>
        <w:t>- 6 - novembre 2022 consid. 3.1 ; TF 6B_44/2020 du 16 septembre 2020 consid. 10.1). Le parent d'un enfant abusé sexuellement doit être touché avec la même intensité qu'en cas de décès de l'enfant (cf. ATF 139 IV 89 consid. 2.4.1 ; TF 7B_931/2023 précité consid. 3.2 ; TF 6B_545/2022 du 4 janvier 2023 consid. 13.2.1 ; TF 6B_44/2020 précité consid. 10.1).</w:t>
      </w:r>
    </w:p>
    <w:p>
      <w:r>
        <w:rPr>
          <w:b/>
        </w:rPr>
        <w:t>E. 2.3</w:t>
      </w:r>
    </w:p>
    <w:p>
      <w:r>
        <w:t>La recourante a produit à l'appui de son recours un rapport d'expertise privée établi le 1er août 2024 par le Dr [...] (P. 51/1/2) à sa demande et contre rémunération. Ce praticien hospitalier à Canteleu (France), fait état des trois entretiens qu'il a eus avec la recourante, du fait qu'il n'est pas son médecin traitant, ni qu'il a eu à intervenir de manière thérapeutique à quelque titre que ce soit ; il indique que la recourante lui a déclaré que, depuis le dévoilement de l'agression sexuelle du père de ses enfants sur ceux-ci et la réaction de déni dont il fait preuve, de la minimisation systématique de ses alertes par les autorités judiciaires et de la décision de retrait de garde par la protection de l'enfance helvète du lieu où elle a élu domicile et où elle travaille, elle est confrontée à une multitude de sentiments qui la conduisent à manifester des symptômes de stress post-traumatique constituant, de facto, de par leur nature et leur accumulation, « un deuil pathologique manifeste au sens, par exemple, des critères du DSM-V ». Ce praticien indique que les vécus de sentiments d'impuissance, de trahison, de stigmatisation et de sexualisation traumatique, qui sont particulièrement bien documentés scientifiquement, sont parfaitement congruents avec le vécu de la recourante. Il soutient que la méconnaissance de ces données scientifiques a conduit à disqualifier sa parole de mère et à la priver de ses enfants, provoquant un ensemble de difficultés et de sentiments qui sont la cause d'une détresse cliniquement significative, d'une détérioration dans le fonctionnement social, occupationnel et d'autres aspects importants de son fonctionnement, qui caractérisent un véritable deuil dans un contexte où sa personnalité préexistante est exempte d'éléments dépressifs grâce à sa résilience vis-à-vis de ses propres traumatismes. Ce deuil est directement lié au déni affiché en réponse aux multiples alertes et à la décision de lui retirer ses enfants au profit des services sociaux, avec la menace de les rendre au père. Il conclut qu'elle aura besoin toute</w:t>
      </w:r>
    </w:p>
    <w:p>
      <w:r>
        <w:t>- 7 - sa vie d'un suivi psychologique ou psychiatrique, que le choc émotionnel causé par les faits l'a plongée dans une détresse profonde, qu'elle souffre au quotidien alors qu'elle allait mieux après la séparation, qu'elle devra vivre toute sa vie et élever ses enfants en étant confrontée à son stress post-traumatique et à celui de ses enfants, qu'elle sera sans cesse préoccupée par les séquelles des enfants, qu'elle a le sentiment que sa souffrance durera toute sa vie et que les dommages subis par ses enfants sont irréversibles si bien qu'elle doit faire le deuil définitif de la personnalité de ses enfants et de la relation qu'elle avait bâtie avec eux. L'attestation du Centre d'accueil de Malley-Prairie du 5 février 2024 (P. 51/1/3) conclut que les déclarations de la recourante sont dignes de foi et que les conséquences psychologiques des violences qu'elle a décrites – physiques, sexuelles et psychologiques à son encontre, de la part de son mari – sont compatibles avec les faits qu'elle décrit ; parmi les conséquences de ces violences, elle fait état d'idées suicidaires, d'état dépressif, de fréquentes crises de larmes et d'un sentiment de honte à avoir parlé des violences sexuelles. Ces attestations décrivent non seulement les violences que la recourante dit avoir subies de la part de son mari, mais également les impacts considérables de celles-ci. Or, la jurisprudence du Tribunal fédéral est extrêmement restrictive. En particulier, la qualité de partie plaignante doit être liée aux conséquences directes des abus commis sur l'enfant et non aux violences qu'aurait subies la recourante dans sa vie conjugale ou familiale, ni aux conséquences de la divulgation des abus sexuels sur sa propre vie. Dans ces circonstances, dans le cadre de la détermination de la qualité de partie plaignante, on ne peut pas tenir compte du fait que la divulgation de ces faits a conduit à ce que la garde sur ses enfants lui soit retirée. Il ressort de ces attestations que c'est l'ensemble de la situation conjugale et familiale et ses conséquences concrètes qui ont impacté la recourante et pas uniquement les abus sexuels dont leur fils aurait été victime. Or, la qualité de partie plaignante se détermine uniquement au regard des attouchements dénoncés dont l'enfant I.G.________ aurait été victime. Ceux-ci, respectivement leur impact direct, n'atteignent pas le degré de souffrance exigé par la jurisprudence du Tribunal fédéral.</w:t>
      </w:r>
    </w:p>
    <w:p>
      <w:r>
        <w:t>- 8 - Il s'ensuit que la décision du Ministère public est bien fondée.</w:t>
      </w:r>
    </w:p>
    <w:p>
      <w:r>
        <w:rPr>
          <w:b/>
        </w:rPr>
        <w:t>E. 3</w:t>
      </w:r>
    </w:p>
    <w:p>
      <w:r>
        <w:t>En définitive, le recours, manifestement mal fondé, doit être rejeté sans échange d'écritures (art. 390 al. 2 CPP) et la décision entreprise confirmée. Vu l’issue de la cause,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22 juillet 2024 est confirmée. III. Les frais d'arrêt, par 770 fr. (sept cent septante francs), sont mis à la charge de J.G.________. IV. L’arrêt est exécutoire. Le président : La greffière : Du Le présent arrêt, dont la rédaction a été approuvée à huis clos, est notifié, par l'envoi d'une copie complète, à : - Me Samuel Thétaz, avocat (pour J.G.________), - Ministère public central,</w:t>
      </w:r>
    </w:p>
    <w:p>
      <w:r>
        <w:t>- 9 - et communiqué à : - Me Julie André, avocate (pour I.G.________), - Me Marc Cheseaux, avocat (pour D.G.________),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