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PE23.021514 vom 2. Juli 2024</w:t>
      </w:r>
    </w:p>
    <w:p>
      <w:r>
        <w:t>VD Tribunal cantonal, 2024-07-02, FR</w:t>
      </w:r>
    </w:p>
    <w:p>
      <w:r>
        <w:rPr>
          <w:b/>
        </w:rPr>
        <w:t xml:space="preserve">Quelle: </w:t>
      </w:r>
      <w:r>
        <w:t>https://mcp.opencaselaw.ch/entscheid/vd_gerichte_PE23.021514</w:t>
      </w:r>
    </w:p>
    <w:p>
      <w:r>
        <w:t>FR: VD_GERICHTE PE23.021514 du 2 juillet 2024</w:t>
      </w:r>
    </w:p>
    <w:p>
      <w:r>
        <w:t>IT: VD_GERICHTE PE23.021514 del 2 luglio 2024</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w:t>
      </w:r>
    </w:p>
    <w:p>
      <w:r>
        <w:t>- 4 - Jeanneret/Kuhn/Perrier Depeursinge [éd.], Commentaire romand, Code de procédure pénale suisse, 2e éd., Bâle 2019 [cité ci-après : CR-CPP], n. 4 ad art. 267 CPP ;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w:t>
      </w:r>
    </w:p>
    <w:p>
      <w:r>
        <w:rPr>
          <w:b/>
        </w:rPr>
        <w:t>E. 1.2</w:t>
      </w:r>
    </w:p>
    <w:p>
      <w:r>
        <w:t>En l’espèce, interjeté en temps utile par le prévenu, qui se prétend propriétaire des objets séquestrés – à l’exception de la cocaïne –, et qui a donc un intérêt juridiquement à l’annulation ou à la modification de l’ordonnance entreprise (art. 382 al. 1 CPP), le recours est recevable.</w:t>
      </w:r>
    </w:p>
    <w:p>
      <w:r>
        <w:rPr>
          <w:b/>
        </w:rPr>
        <w:t>E. 2.1</w:t>
      </w:r>
    </w:p>
    <w:p>
      <w:r>
        <w:t>Le recourant fait valoir que l’ordonnance attaquée – dépourvue de toute motivation, ne se limitant qu’à indiquer un article de loi – devrait être annulée. Subsidiairement, et si la Cour de céans devait faire usage de son pouvoir d’appréciation pour réparer le vice, concernant le séquestre en lien avec son téléphone portable, le recourant prétend que, dans la mesure où celui-ci a déjà fait l’objet d’extractions, il ne pourrait plus être considéré comme un objet mettant en danger l’ordre public, pas plus qu’il ne pourrait raisonnablement être considéré comme un objet permettant la réalisation de l’infraction qui lui est reprochée. Quant à la somme d’argent séquestrée, le recourant relève que le Ministère public n’aurait pas établi que cette somme aurait été le produit direct de l’infraction, cette autorité ayant même exclu cette possibilité en retenant que le recourant disposait de revenus légaux.</w:t>
      </w:r>
    </w:p>
    <w:p>
      <w:r>
        <w:rPr>
          <w:b/>
        </w:rPr>
        <w:t>E. 2.1.1</w:t>
      </w:r>
    </w:p>
    <w:p>
      <w:r>
        <w:t>; CREP 20 mars 2023/186 consid. 2.3). Une motivation très brève est suffisante si elle permet à l’intéressé, au vu du contexte général de la cause, de discerner le lien entre les faits qui lui sont reprochés et les objets saisis (CREP 14 janvier 2019/35 consid. 2.2.2 ; CREP 15 juin 2017/393).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w:t>
      </w:r>
    </w:p>
    <w:p>
      <w:r>
        <w:t>- 8 - l’intérêt de la partie concernée à ce que sa cause soit tranchée dans un délai raisonnable (ATF 145 I 167 consid. 4.4 ; ATF 142 II 218 consid. 2.8.1 et les réf. citées ; TF 6B_659/2022 du 17 mai 2023 consid. 3.2). La Chambre des recours pénale dispose d’un pouvoir d’examen complet en fait et en droit, permettant de guérir un tel vice procédural (art. 389 al. 3 et 391 al. 1 CPP ; TF 6B_182/2022 du 25 janvier 2023 consid. 1.2).</w:t>
      </w:r>
    </w:p>
    <w:p>
      <w:r>
        <w:rPr>
          <w:b/>
        </w:rPr>
        <w:t>E. 2.2.1</w:t>
      </w:r>
    </w:p>
    <w:p>
      <w:r>
        <w:t>En vertu de l’art. 263 al. 1 CPP, des objets et des valeurs patrimoniales appartenant au prévenu ou à des tiers peuvent être mis</w:t>
      </w:r>
    </w:p>
    <w:p>
      <w:r>
        <w:t>- 5 -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Le séquestre probatoire au sens de l’art. 263 al. 1 let. a CPP est la mise sous main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1B_492/2017 du 25 avril 2018 consid. 2.2).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(Julen Berthod, in : Jeanneret/Kuhn/Perrier Depeursinge [éd.], CR-CPP, n. 14 ad art. 263 CPP). Réglementé plus précisément à l’art. 268 CPP, la loi impose en cas de séquestre en couverture des frais de tenir compte du revenu et de la fortune du prévenu et d’exclure les valeurs insaisissables au sens des art. 92 à 94 de la loi fédérale sur la poursuite pour dettes et la faillite (art. 268 al. 2 et 3 CPP ; ATF 141 IV 360 consid. 3.2 et les arrêts cités). Le séquestre d’objets en vue de les restituer au lésé au sens de l’art. 263 al. 1 let. c CPP consiste à placer sous main de justice des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w:t>
      </w:r>
    </w:p>
    <w:p>
      <w:r>
        <w:t>- 6 -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op. cit., n. 17 ad art. 263 CPP et les réf. citées). Quant au séquestre en vue de la confiscation (cf. art. 263 al. 1 let. d CPP), cette mesure est proportionnée lorsqu’elle porte sur des objets/avoirs dont on peut admettre qu’ils pourront être vraisemblablement confisqués en application du droit pénal (ATF 141 IV 360 précité consid. 3.2).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précité consid. 3.2 ; TF 1B_481/2021 du 4 novembre 2021 consid. 2.2). Le séquestre pénal ne peut donc être levé que dans l’hypothèse où il est d’emblée manifeste et indubitable que les conditions matérielles d’une confiscation ne sont pas réalisées, et ne pourront l’être (ATF 140 IV 133 consid. 4.2.1 ; ATF 139 IV 250 consid. 2.1 ; TF 1B_398/2022 précité consid. 5.3). Jusqu’au 1er janvier 2024, le CPP ne comprenait pas de dispositions sur le séquestre de valeurs patrimoniales en vue de l’exécution d’une créance compensatrice, ce qui était toutefois réglé à l’art. 71 al. 3 CP, lequel n’avait pas été intégré dans le CPP. Pour plus de clarté, cette disposition du CP a été abrogée et son contenu a été introduit à l’art. 263 al. 1 let. e CPP (Message du Conseil fédéral du 28 août 2019 [19.048] concernant la modification du code de procédure pénale (mise en œuvre de la motion 14.3383 de la Commission des affaires juridiques du Conseil des États « Adaptation du code de procédure pénale » ; FF 2019 6351 p. 6406).</w:t>
      </w:r>
    </w:p>
    <w:p>
      <w:r>
        <w:rPr>
          <w:b/>
        </w:rPr>
        <w:t>E. 2.2.2</w:t>
      </w:r>
    </w:p>
    <w:p>
      <w:r>
        <w:t>L’art. 263 al. 2 CPP précise que le séquestre est ordonné par voie d’ordonnance écrite, brièvement motivée. Cette disposition prévoit</w:t>
      </w:r>
    </w:p>
    <w:p>
      <w:r>
        <w:t>- 7 -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Jeanneret/Kuhn/Perrier Depeursinge [éd.], CR-CPP, n. 34 ad art. 263 CPP, avec n. infrapaginale 114).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précité consid. 2.2 ; TF 6B_1169/2022 du 30 juin 2023 consid. 1.1). La seule référence à la norme légale est insuffisante sous l’angle des exigences de motivation de la décision (CREP 3 octobre 2023/776 consid.</w:t>
      </w:r>
    </w:p>
    <w:p>
      <w:r>
        <w:rPr>
          <w:b/>
        </w:rPr>
        <w:t>E. 2.2.3</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donc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Jeanneret/Kuhn/Perrier Depeursinge [éd.], CR-CPP,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Dans le cadre de l’examen d’un séquestre, l’autorité statue ainsi sous l’angle de la vraisemblance. La mesure doit pouvoir être ordonnée rapidement, ce qui exclut la résolution de questions juridiques complexes (ATF 141 IV 360 précité consid. 3.2 ; voir les arrêts cités par Julen Berthod, in : Jeanneret/Kuhn/Perrier Depeursinge [éd.], CR-CPP, n. 25 ad art. 263 CPP). Toutefois, le degré de probabilité exigé variera selon l’avancement de la procédure. Ainsi, il importe que les présomptions se renforcent au cours de l’enquête et que l’existence d’un lien de connexité entre le bien séquestré et les actes</w:t>
      </w:r>
    </w:p>
    <w:p>
      <w:r>
        <w:t>- 9 - délictueux puisse être considérée comme hautement vraisemblable pour que le maintien du séquestre pendant une période prolongée se justifie (TF 1B_481/2021 précité consid. 2.2 et les réf. citées ; Julen Berthod, in : Jeanneret/Kuhn/Perrier Depeursinge [éd.], CR-CPP, n. 26 ad art. 263 CPP et les réf. citées).</w:t>
      </w:r>
    </w:p>
    <w:p>
      <w:r>
        <w:rPr>
          <w:b/>
        </w:rPr>
        <w:t>E. 2.3.1</w:t>
      </w:r>
    </w:p>
    <w:p>
      <w:r>
        <w:t>En l’espèce, dans l’ordonnance attaquée, le Ministère public s’est limité, pour toute motivation, à reprendre une partie du texte de l’art. 263 al. 1 let. a à e CPP, sans indiquer en quoi les conditions légales de ces cas de séquestre seraient réunies. Or, la seule référence à la norme légale, insuffisante sous l’angle des exigences de motivation de la décision, viole le droit d’être entendu du recourant. Cela étant, l’insuffisance de motivation peut toutefois se guérir devant l’autorité supérieure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Ainsi, vu la motivation du Ministère public contenue dans ses déterminations du 12 juin 2024 et l’échange d’écriture intervenu entre les parties devant la Cour de céans, qui dispose du même pouvoir d’examen que l’autorité inférieure (art. 393 al. 2 CPP), le recourant a eu la possibilité de s’exprimer librement en invoquant l’ensemble de ses arguments. Le vice a par conséquent été guéri dans le cadre de la présente procédure.</w:t>
      </w:r>
    </w:p>
    <w:p>
      <w:r>
        <w:rPr>
          <w:b/>
        </w:rPr>
        <w:t>E. 2.3.2</w:t>
      </w:r>
    </w:p>
    <w:p>
      <w:r>
        <w:t>En l’occurrence, comme l’a retenu le Tribunal des mesures de contrainte dans son ordonnance de détention provisoire du 9 novembre 2023 – laquelle a été prolongée par ordonnances des 1er février et 2 mai 2024 –, il existe à ce stade d’importants soupçons permettant de supposer</w:t>
      </w:r>
    </w:p>
    <w:p>
      <w:r>
        <w:t>- 10 - que le recourant s’adonnait à la vente de produits stupéfiants. En effet, il a été interpellé en possession de près de 900 grammes bruts de cocaïne, dissimulé dans des bouteilles de « YOP ». Par ailleurs, à teneur du dossier, il apparaît que le prévenu a été contrôlé une première fois par les douaniers, sans bouteilles, mais qu’il s’est ensuite rendu aux toilettes peu avant l’arrivée du train en gare. Lors d’un second contrôle en sortant du wagon, celui-ci a révélé la présence des « YOP » dans son sac à dos. Les enquêteurs ont ainsi conclu que les bouteilles avaient été cachées à cet endroit en vue d’être convoyées (P. 4). Confronté à ces éléments, le prévenu, qui a déjà été condamné pour des faits de même nature, n’a offert que des dénégations qui ne sont, à ce stade, pas suffisantes pour renverser le faisceau de présomptions qui pèsent à son encontre. S’agissant du séquestre en lien avec son téléphone portable, il ressort du dossier que le recourant a supprimé l’application WhatsApp de son téléphone juste après son premier contrôle par l’Office Fédéral de la Douane et de la sécurité aux Frontières le 6 novembre 2023. L’extraction avait toutefois permis d’établir la présence de plusieurs billets de train au nom du prévenu pour des trajets entre Paris et Lausanne et le contrôle téléphonique rétroactif a également permis de mettre en évidence au moins neuf trajets entre la Suisse et la France, où le prévenu ne restait que quelques heures en région parisienne avant de revenir en Suisse. Contrairement à ce que soutient le recourant, il est donc indéniable qu’une confiscation au sens de l’art. 69 CP est envisageable, puisque cet appareil paraît avoir servi à la commission d’une infraction et qu’il existe un risque sérieux qu’il soit à nouveau utilisé à cette fin. En outre, cette mesure ne paraît pas disproportionnée, de sorte que le séquestre est justifié sous l’angle confiscatoire. Il l’est également sous l’angle probatoire, puisque ledit appareil constitue la preuve directe des données en question et que le recourant, en qualité de prévenu, n’est pas en droit de contraindre l’autorité de se priver d’une preuve matérielle utile et de se contenter d’un support indirect ou d’une copie. Se contentant de soutenir que le Ministère public n’aurait pas établi que la somme d’argent séquestrée aurait été le produit direct de</w:t>
      </w:r>
    </w:p>
    <w:p>
      <w:r>
        <w:t>- 11 - l’infraction et qu’il aurait même exclu cette possibilité en retenant que le recourant disposait de revenus légaux, Y.________ n’a pas fourni d’explication claire au sujet de la présence du montant de 276 fr. 55 retrouvé sur lui. Dans ces circonstances, et malgré les dénégations du recourant, tout porte à croire que la somme saisie provienne de la vente de produits stupéfiants, soit d’une activité pénalement répréhensible. En effet, même si, concernant le lien de connexité, il n’est certes pas aisé de distinguer l’argent du recourant provenant de ses prétendues activités professionnelles et celui résultant de son trafic, au vu de la quantité de drogue saisie et du nombre d’allers-retours entre la France et la Suisse, il y a de bonnes raisons de penser qu’une part de la somme saisie a été obtenue illicitement. À ce stade et sous réserve d’éléments nouveaux apportés par l’enquête, on peut considérer que le rapport de connexité est suffisant et que le séquestre de cette somme est en l’état justifié, dès lors que celle-ci pourra vraisemblablement être utilisée comme moyen de preuve (art. 263 al. 1 let. a CPP) et être confisquée (art. 263 al. 1 let. d CPP). Enfin, le séquestre est parfaitement proportionné. Il est en effet apte à produire les résultats escomptés et ceux-ci ne peuvent pas être atteints par une mesure moins incisive. Enfin, le séquestre en lien avec les deux bouteilles de « YOP », contenant 64 ovules de cocaïne, n’est contesté que sous l’angle du droit d’être entendu. Il n’y a ainsi pas lieu de l’examiner. Compte tenu des particularités de la cause, soit d’une personne interpellée en possession d’une grande quantité de cocaïne et qui supprime juste avant son arrestation son application WhatsApp, les motifs du séquestre sont évidents, de sorte que le renvoi au Ministère public pour motivation constituerait une vaine formalité.</w:t>
      </w:r>
    </w:p>
    <w:p>
      <w:r>
        <w:rPr>
          <w:b/>
        </w:rPr>
        <w:t>E. 3</w:t>
      </w:r>
    </w:p>
    <w:p>
      <w:r>
        <w:t>En définitive, le recours doit être rejeté et l’ordonnance du 10 mai 2024 confirmée. L’émolument d’arrêt est fixé à 1’210 fr. (art. 20 al. 1 TFIP [Tarif des frais de procédure et indemnités en matière pénale du 28 septembre 2010 ; BLV 312.03.1]). Au vu du travail accompli par Me Karine Stewart</w:t>
      </w:r>
    </w:p>
    <w:p>
      <w:r>
        <w:t>- 12 - Harris, défenseur d’office de Y.________,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8,1 % de TVA sur le tout, soit 44 fr. 65, de sorte que l’indemnité d’office s’élève au total à 596 fr. en chiffres arrondis. L’émolument d’arrêt et les frais imputables à la défense d’office seront laissés à la charge de l’Etat, la violation du droit d’être entendu ayant été réparée dans le cadre de la procédure de recours. Par ces motifs, la Chambre des recours pénale prononce : I. Le recours est rejeté. II. L’ordonnance du 10 mai 2024 est confirmée. III. L’indemnité allouée au défenseur d’office de Y.________ est fixée à 596 fr. (cinq cent nonante-six francs). IV. Les frais d’arrêt, par 1’210 fr. (mille deux cent dix francs), ainsi que l’indemnité due au défenseur d’office de Y.________, par 596 fr. (cinq cent nonante-six francs), sont laissés à la charge de l’Etat. V. L’arrêt est exécutoire. Le président : La greffière :</w:t>
      </w:r>
    </w:p>
    <w:p>
      <w:r>
        <w:t>- 13 - Du Le présent arrêt, dont la rédaction a été approuvée à huis clos, est notifié, par l’envoi d’une copie complète, à : - Me Karine Stewart Harris, avocate (pour Y.________), - Ministère public central, et communiqué à : - Mme la Procureure cantonal Strada, - Service pénitentiaire (Bureau des séquestres),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