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PE23.021481 vom 14. August 2024</w:t>
      </w:r>
    </w:p>
    <w:p>
      <w:r>
        <w:t>VD Tribunal cantonal, 2024-08-14, FR</w:t>
      </w:r>
    </w:p>
    <w:p>
      <w:r>
        <w:rPr>
          <w:b/>
        </w:rPr>
        <w:t xml:space="preserve">Quelle: </w:t>
      </w:r>
      <w:r>
        <w:t>https://mcp.opencaselaw.ch/entscheid/vd_gerichte_PE23.021481</w:t>
      </w:r>
    </w:p>
    <w:p>
      <w:r>
        <w:t>FR: VD_GERICHTE PE23.021481 du 14 août 2024</w:t>
      </w:r>
    </w:p>
    <w:p>
      <w:r>
        <w:t>IT: VD_GERICHTE PE23.021481 del 14 agosto 2024</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w:t>
      </w:r>
    </w:p>
    <w:p>
      <w:r>
        <w:t>Interjeté dans le délai légal, auprès de l’autorité compétente, par la prévenue qui a la qualité pour recourir (art. 382 al. 1 CPP), et dans les formes prescrites (art. 385 al. 1 CPP), le recours déposé par V.________ est recevable.</w:t>
      </w:r>
    </w:p>
    <w:p>
      <w:r>
        <w:rPr>
          <w:b/>
        </w:rPr>
        <w:t>E. 2.1</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- 5 -</w:t>
      </w:r>
    </w:p>
    <w:p>
      <w:r>
        <w:rPr>
          <w:b/>
        </w:rPr>
        <w:t>E. 2.2</w:t>
      </w:r>
    </w:p>
    <w:p>
      <w:r>
        <w:t>Dès lors que le recours porte uniquement sur les conséquences économiques accessoires d’une décision de classement et que le montant litigieux est inférieur à 5'000 fr., il relève de la compétence d’un membre de la Chambre des recours pénale du Tribunal cantonal statuant comme juge unique.</w:t>
      </w:r>
    </w:p>
    <w:p>
      <w:r>
        <w:rPr>
          <w:b/>
        </w:rPr>
        <w:t>E. 3.1</w:t>
      </w:r>
    </w:p>
    <w:p>
      <w:r>
        <w:t>La recourante conteste le refus de la procureure de lui allouer une indemnité au sens de l’art. 429 CPP. Elle rappelle notamment qu'elle n'est pas familière ou habituée des procédures, en particulier pénales, qu'elle se trouvait dans une situation personnelle compliquée, du point de vue de son état de santé, précisant qu'elle est notamment dyslexique. Par ailleurs, la procédure pénale avait été initiée par une perquisition policière inopinée à son domicile un samedi, suivie d'une garde à vue et d'une audition dans la foulée ; en outre l'affaire ne s'était pas simplement ou rapidement clôturée par une décision de classement suite à un retrait de plainte, mais qu'elle avait fait l'objet de mesures d'instruction d'une intensité importante et objectivement stressante et traumatisante pour elle et pour ses proches, lesquels s'étaient retrouvés totalement dépassés par la survenue et le suivi de la procédure pénale, ce qui avait rendu l'assistance d'un avocat non seulement raisonnable, mais nécessaire.</w:t>
      </w:r>
    </w:p>
    <w:p>
      <w:r>
        <w:rPr>
          <w:b/>
        </w:rPr>
        <w:t>E. 3.2</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w:t>
      </w:r>
    </w:p>
    <w:p>
      <w:r>
        <w:t>- 6 -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 Selon la jurisprudence constante, pour une affaire de difficulté moyenne, l’indemnisation est fixée au tarif horaire de 300 fr. pour un avocat (CREP 29 décembre 2023/1064 consid. 2.2.2 ; CAPE 25 avril 2022/171 ; CAPE 12 décembre 2019/428 ; CAPE 21 novembre 2018/384).</w:t>
      </w:r>
    </w:p>
    <w:p>
      <w:r>
        <w:rPr>
          <w:b/>
        </w:rPr>
        <w:t>E. 3.3</w:t>
      </w:r>
    </w:p>
    <w:p>
      <w:r>
        <w:t>En l’espèce, le raisonnement de la procureure ne saurait être suivi. En effet, l’instruction pénale ouverte contre la recourante concernait les infractions de lésions corporelles simples, subsidiairement voies de fait,</w:t>
      </w:r>
    </w:p>
    <w:p>
      <w:r>
        <w:t>- 7 - et de menaces, soit deux délits. Si la cause ne présentait effectivement pas de complexité particulière, on ne saurait pour autant exclure, sur le principe, toute indemnisation. En effet, la procédure pénale a été initiée par une perquisition de police inopinée au domicile de la recourante, qui a immédiatement été placée en garde à vue puis entendue. Par ailleurs, à cette époque, l'intéressée, dyslexique, n'était âgée que de 22 ans, et n'était pas familière des procédures, notamment de la procédure pénale. Enfin et surtout, la lecture du dossier montre que l'activité déployée par son mandataire a permis de trouver une issue transactionnelle au litige opposant les parties, aboutissant à un retrait de plainte et permettant à la procureure de rendre une ordonnance de classement. Au vu de ce qui précède, le recours à un avocat se révélait justifié. Afin de garantir le principe de la double instance, le chiffre II du dispositif de l'ordonnance sera annulé et le dossier renvoyé au Ministère public afin qu’il alloue à la recourante une indemnité au sens de l’art. 429 CPP (cf. CREP 29 décembre 2023/945).</w:t>
      </w:r>
    </w:p>
    <w:p>
      <w:r>
        <w:rPr>
          <w:b/>
        </w:rPr>
        <w:t>E. 4</w:t>
      </w:r>
    </w:p>
    <w:p>
      <w:r>
        <w:t>En définitive, le recours doit être admis, le chiffre II du dispositif de l’ordonnance entreprise annulé et la cause renvoyée au Ministère public pour qu’il procède dans le sens des considérants. L’ordonnance sera maintenue pour le surplus. Vu le sort du recours, les frais de la procédure, constitués en l’espèce du seul émolument d'arrêt, par 630 fr. (art. 20 al. 1 TFIP [tarif des frais de procédure et indemnités en matière pénale du 28 septembre 2010 ; BLV 312.03.1]), seront laissés à la charge de l’Etat (art. 423 al. 1 CPP). La recourante, qui a procédé avec l’assistance d’un défenseur de choix et qui a obtenu gain de cause, a droit à une indemnité pour les dépenses occasionnées par la procédure de recours (art. 429 al. 1 let. a CPP), à la charge de l’Etat. Le défenseur de V.________ réclame une indemnité de 492 fr. 72 pour sa cliente. La somme requise est adéquate. C'est ainsi un montant de 493 fr., TVA et débours inclus, qui sera allouée à V.________ pour ses frais de défense dans la procédure de recours.</w:t>
      </w:r>
    </w:p>
    <w:p>
      <w:r>
        <w:t>- 8 - Par ces motifs, le juge unique prononce : I. Le recours est admis. II. Le chiffre II du dispositif de l’ordonnance du 17 juillet 2024 est annulé. L’ordonnance est maintenue pour le surplus. III. Le dossier de la cause est renvoyé au Ministère public de l’arrondissement de l'Est vaudois pour qu’il procède dans le sens des considérants. IV. Les frais d’arrêt, par 630 fr. (six cent trente francs), sont laissés à la charge de l’Etat. V. Une indemnité de 493 fr. (quatre cent nonante-trois francs) est allouée à V.________ pour la procédure de recours, à la charge de l’Etat. VI. L’arrêt est exécutoire. Le juge unique : La greffière : Du Le présent arrêt, dont la rédaction a été approuvée à huis clos, est notifié, par l'envoi d'une copie complète, à : - Me Sandeep Pai, avocat (pour V.________),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