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PE23.021248 vom 1. Mai 2024</w:t>
      </w:r>
    </w:p>
    <w:p>
      <w:r>
        <w:t>VD Tribunal cantonal, 2024-05-01, FR</w:t>
      </w:r>
    </w:p>
    <w:p>
      <w:r>
        <w:rPr>
          <w:b/>
        </w:rPr>
        <w:t xml:space="preserve">Quelle: </w:t>
      </w:r>
      <w:r>
        <w:t>https://mcp.opencaselaw.ch/entscheid/vd_gerichte_PE23.021248</w:t>
      </w:r>
    </w:p>
    <w:p>
      <w:r>
        <w:t>FR: VD_GERICHTE PE23.021248 du 1 mai 2024</w:t>
      </w:r>
    </w:p>
    <w:p>
      <w:r>
        <w:t>IT: VD_GERICHTE PE23.021248 del 1 maggio 2024</w:t>
      </w:r>
    </w:p>
    <w:p>
      <w:pPr>
        <w:pStyle w:val="Heading2"/>
      </w:pPr>
      <w:r>
        <w:t>Erwägungen</w:t>
      </w:r>
    </w:p>
    <w:p>
      <w:r>
        <w:rPr>
          <w:b/>
        </w:rPr>
        <w:t>E. 2</w:t>
      </w:r>
    </w:p>
    <w:p>
      <w:r>
        <w:t>LCR (ATF 138 IV 258 consid. 3.1.3, JdT 2013 IV 214).</w:t>
      </w:r>
    </w:p>
    <w:p>
      <w:r>
        <w:rPr>
          <w:b/>
        </w:rPr>
        <w:t>E. 2.3</w:t>
      </w:r>
    </w:p>
    <w:p>
      <w:r>
        <w:t>En l’espèce, le recourant fait valoir que B.________ aurait commis plusieurs infractions aux règles de la circulation routière qui auraient mis sa vie en danger, soit que celui-ci l’aurait dépassé par la droite à une vitesse supérieure à 120 km/h et aurait tenté « de l’envoyer dans le décor » à la sortie de Gland. Or, comme exposé ci-dessus, la réglementation routière ne protège qu’indirectement les biens juridiques individuels comme la vie, l'intégrité corporelle, la propriété ou le patrimoine, de sorte que le statut de lésé du recourant ne peut se fonder sur la seule base de l’art. 90 al. 1 ou 2 LCR, d'autant que son véhicule n’a pas été endommagé, que sa vie n’a pas été mise en danger et qu’il n’a pas subi de blessures ensuite du comportement reproché à B.________. Par</w:t>
      </w:r>
    </w:p>
    <w:p>
      <w:r>
        <w:t>- 6 - conséquent, ne pouvant se prévaloir de la qualité de lésé, le recourant n’a pas d’intérêt juridiquement protégé à l’annulation ou à la modification de l’ordonnance de non-entrée en matière du 21 novembre 2023, de sorte que son recours doit être déclaré irrecevable.</w:t>
      </w:r>
    </w:p>
    <w:p>
      <w:r>
        <w:rPr>
          <w:b/>
        </w:rPr>
        <w:t>E. 3.1</w:t>
      </w:r>
    </w:p>
    <w:p>
      <w:r>
        <w:t>De toute manière, à supposer recevable, le recours de X.________ aurait été rejeté pour les motifs qui suivent.</w:t>
      </w:r>
    </w:p>
    <w:p>
      <w:r>
        <w:rPr>
          <w:b/>
        </w:rPr>
        <w:t>E. 3.2</w:t>
      </w:r>
    </w:p>
    <w:p>
      <w:r>
        <w:t>L'art. 141 CPP règle la question de l'exploitation des moyens de preuve obtenus illégalement. Selon l’art. 141 al. 1 CPP, les preuves administrées en violation de l’art. 140 CPP ne sont en aucun cas exploitables ; il en va de même lorsque le présent code dispose qu’une preuve n’est pas exploitable. Selon l'art. 141 al. 2 CPP, les preuves qui ont été administrées d'une manière illicite ou en violation de règles de validité par les autorités pénales ne sont pas exploitables, à moins que leur exploitation soit indispensable pour élucider des infractions graves. S'agissant d'infractions aux art. 90 al. 1 et 2 LCR, le Tribunal fédéral a qualifié les prises de vue d’une dashcam fixée sur un véhicule automobile d'illicites, indépendamment de toute pesée des intérêts prévue à l'art. 13 al. 1 LPD, relevant que l'intérêt privé du maître des données (Datenbearbeiter) cédait le pas aux intérêts de la personne atteinte dans sa personnalité, respectivement poursuivie (ATF 147 IV 16 consid. 3 ; ATF 146 IV 226 consid. 3.2 et 3.3). Aussi, lorsqu'un moyen de preuve a été recueilli par un particulier en violation des principes ancrés dans la LPD (art. 12 LPD), il y a lieu, dans un premier temps, d'examiner s'il existe des motifs justificatifs au sens de l'art. 13 LPD (étant rappelé qu'ils sont admis avec retenue, en particulier lors d'enregistrements au moyen d'une caméra embarquée, en matière de circulation routière). Si l'illicéité de l'atteinte à la personnalité peut être levée par un motif justificatif, la preuve est exploitable sans restriction. Si la preuve doit être qualifiée d'illicite, il convient, dans un second temps, d'examiner les conditions d'exploitabilité prévalant en procédure pénale (cf. art. 141 al. 2 CPP) (ATF 147 IV 16 consid. 5).</w:t>
      </w:r>
    </w:p>
    <w:p>
      <w:r>
        <w:t>- 7 - La loi pénale ne règle pas, de manière explicite, la situation dans laquelle de telles preuves ont été recueillies non par l'Etat mais par un particulier. Selon la jurisprudence, ces preuves ne sont exploitables que si, d'une part, elles auraient pu être recueillies licitement par les autorités pénales et si, d'autre part, une pesée des intérêts en présence plaide pour une exploitabilité (ATF 147 IV 16 consid. 1.1 ; ATF 146 IV 226 consid. 2.1 ; TF 6B_53/2020 du 14 juillet 2020 consid. 1.1 ; TF 6B_902/2019 du 8 janvier 2020 consid. 1.2). Dans le cadre de cette pesée d'intérêts, il convient d'appliquer les mêmes critères que ceux prévalant en matière d'administration des preuves par les autorités. Les moyens de preuve ne sont ainsi exploitables que s'ils sont indispensables pour élucider des infractions graves (ATF 147 IV 9 consid. 1.3.1 ; ATF 146 IV 226 consid. 2 et les réf.). S'agissant de preuves recueillies par un particulier, la notion d'infractions graves au sens de l'art. 141 al. 2 CPP doit être examinée au regard de la gravité de l'acte concret et de l'ensemble des circonstances qui l'entourent, et non abstraitement selon la peine menace de l'infraction en cause (ATF 147 IV 9 consid. 1.4.2, précisant la portée de l'ATF 146 IV 226 consid. 4).</w:t>
      </w:r>
    </w:p>
    <w:p>
      <w:r>
        <w:rPr>
          <w:b/>
        </w:rPr>
        <w:t>E. 3.3</w:t>
      </w:r>
    </w:p>
    <w:p>
      <w:r>
        <w:t>Comme vu plus haut, en cas d’infractions aux art. 90 al. 1 et 2 LCR, le Tribunal fédéral considère que les images enregistrées par une dashcam sont illicites, indépendamment de toute pesée des intérêts prévue à l'art. 13 al. 1 LPD. Dans le cas particulier, il faudrait constater que l’atteinte illicite à la personnalité de B.________ ne se justifie par aucun des motifs justificatifs évoqués à l’art. 13 al. 1 LPD, à savoir l’intérêt public supérieur, le motif légal ou le consentement de la victime, si bien que les prises de vue de la dashcam du recourant auraient été considérées comme illicites. Il aurait encore fallu déterminer si ces images étaient exploitables. Celles-ci montrent que recourant dépasse le véhicule de B.________, que le recourant demeure sur la voie de gauche pendant plus de 20 secondes avant que le véhicule de B.________ le dépasse partiellement sur la droite, mais qu’il accélère pour que B.________ ne le</w:t>
      </w:r>
    </w:p>
    <w:p>
      <w:r>
        <w:t>- 8 - dépasse pas complètement. Dans un second temps, à la fin de la bretelle de la sortie de Gland, on voit que B.________, qui précédait le recourant, arrête son véhicule à cheval sur les deux présélections de sortie (à droite et à gauche), de sorte que le recourant, qui circulait sur la présélection de droite, a dû s’arrêter derrière B.________ car il n’avait pas assez d’espace pour poursuivre sa route. Ces comportements de B.________ ne rempliraient de toute évidence pas la condition d’une ou de plusieurs infractions graves au sens des art. 90 al. 2 LCR et 141 al. 2 CPP, de sorte qu’il aurait été constaté que les images de la dashcam du recourant étaient inexploitables. Au demeurant, on aurait observé que le comportement du recourant n’était pas exempt de tout reproche. En effet, du moment qu’il explique que B.________ l’a dépassé par la droite à plus de 120 km/h et que lui-même a accéléré pour ne pas le laisser le dépasser, il aurait donc lui aussi circulé à une vitesse supérieure à 120 km/h, qui plus est en restant sur la voie de gauche alors qu’il aurait dû se rabattre à droite avant l’arrivée de l’autre véhicule. Puis, à la fin de la bretelle de la sortie de Gland, au lieu d’attendre que B.________ se remette en mouvement et choisisse finalement la présélection qu’il voulait prendre, le recourant a obliqué sur la droite en se rapprochant du véhicule de B.________ de façon dangereuse.</w:t>
      </w:r>
    </w:p>
    <w:p>
      <w:r>
        <w:rPr>
          <w:b/>
        </w:rPr>
        <w:t>E. 4</w:t>
      </w:r>
    </w:p>
    <w:p>
      <w:r>
        <w:t>Comme exposé précédemment, la recourant n’a pas la qualité de partie plaignante, mais uniquement celle de dénonciateur. Partant, il n’a pas droit à l’assistance judiciaire gratuite, celle-ci n’étant accordée qu’à la partie plaignante et à la victime (cf. art. 136 al. 1 CPP).</w:t>
      </w:r>
    </w:p>
    <w:p>
      <w:r>
        <w:rPr>
          <w:b/>
        </w:rPr>
        <w:t>E. 5</w:t>
      </w:r>
    </w:p>
    <w:p>
      <w:r>
        <w:t>Les frais de la procédure de recours, par 880 fr. (art. 20 al. 1 TFIP [tarif des frais de procédure et indemnités en matière pénale du 28 septembre 2010 ; BLV 312.03.1]), seront mis à la charge du recourant, qui succombe (art. 428 al. 1 CPP).</w:t>
      </w:r>
    </w:p>
    <w:p>
      <w:r>
        <w:t>- 9 - Par ces motifs, la Chambre des recours pénale prononce : I. Le recours est irrecevable. II. La requête d’assistance judiciaire est rejetée. III. Les frais d’arrêt, par 880 fr. (huit cent huitante francs), sont mis à la charge de X.________. IV. L’arrêt est exécutoire. Le président : La greffière : Du Le présent arrêt, dont la rédaction a été approuvée à huis clos, est notifié, par l'envoi d'une copie complète, à : - M. X.________, - Ministère public central, et communiqué à : - M. le Procureur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