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PE23.021089 vom 13. Mai 2024</w:t>
      </w:r>
    </w:p>
    <w:p>
      <w:r>
        <w:t>VD Tribunal cantonal, 2024-05-13, FR</w:t>
      </w:r>
    </w:p>
    <w:p>
      <w:r>
        <w:rPr>
          <w:b/>
        </w:rPr>
        <w:t xml:space="preserve">Quelle: </w:t>
      </w:r>
      <w:r>
        <w:t>https://mcp.opencaselaw.ch/entscheid/vd_gerichte_PE23.021089</w:t>
      </w:r>
    </w:p>
    <w:p>
      <w:r>
        <w:t>FR: VD_GERICHTE PE23.021089 du 13 mai 2024</w:t>
      </w:r>
    </w:p>
    <w:p>
      <w:r>
        <w:t>IT: VD_GERICHTE PE23.021089 del 13 maggio 2024</w:t>
      </w:r>
    </w:p>
    <w:p>
      <w:pPr>
        <w:pStyle w:val="Heading2"/>
      </w:pPr>
      <w:r>
        <w:t>Erwägungen</w:t>
      </w:r>
    </w:p>
    <w:p>
      <w:r>
        <w:rPr>
          <w:b/>
        </w:rPr>
        <w:t>E. 4</w:t>
      </w:r>
    </w:p>
    <w:p>
      <w:r>
        <w:t>La recourante fait valoir que Z.________ aurait filmé la dispute entre les enfants alors qu’elle se trouvait dans l’enceinte de l’école. Ces faits seraient, selon elle, constitutifs d’écoute et enregistrement de conversations entre d’autres personnes au sens de l’art. 179bis CP.</w:t>
      </w:r>
    </w:p>
    <w:p>
      <w:r>
        <w:rPr>
          <w:b/>
        </w:rPr>
        <w:t>E. 4.1</w:t>
      </w:r>
    </w:p>
    <w:p>
      <w:r>
        <w:t>En vertu de l’art. 179bis CP, quiconque, sans le consentement de tous les participants, écoute à l’aide d’un appareil d’écoute ou enregistre sur un porteur de son une conversation non publique entre d’autres personnes, est, sur plainte, puni d’une peine privative de liberté de trois ans au plus ou d’une peine pécuniaire. Selon l’art. 30 al. 1 CP, si une infraction n’est punie que sur plainte, toute personne lésée peut porter plainte contre l’auteur. Les délits poursuivis sur plainte constituent une exception à la maxime d'office, puisque dans ces cas, la poursuite pénale n’est engagée qu’en cas de déclaration de volonté expresse du lésé (Riedo in : Niggli/Wiprächtiger [éd.], Basler Kommentar, Strafrecht I, 4e éd., Bâle 2019, n. 2 ad art. 30 CP). Pour qu’une plainte soit valable, le déroulement des faits sur lesquels elle porte doit être décrit de manière suffisante (Dupuis et al. [éd.], Petit Commentaire du Code pénal, 2e éd., Bâle 2017, n. 4 ad art. 30 CP).</w:t>
      </w:r>
    </w:p>
    <w:p>
      <w:r>
        <w:rPr>
          <w:b/>
        </w:rPr>
        <w:t>E. 4.2</w:t>
      </w:r>
    </w:p>
    <w:p>
      <w:r>
        <w:t>En l’espèce, l’infraction d’écoute et enregistrement de conversations entre d’autres personnes au sens de l’art. 179bis CP ne se poursuit que sur plainte. Or, la plainte déposée le 31 août 2023 ne</w:t>
      </w:r>
    </w:p>
    <w:p>
      <w:r>
        <w:t>- 13 - mentionne aucun fait qui pourrait tomber sous le coup de cette infraction. En particulier, elle n’indique pas que le frère de B.G.________, [...], aurait vu la prévenue filmer la cour de récréation ou enregistrer les conversations des enfants. Dans ces circonstances, faute de plainte valable, l’infraction de l’art. 179bis CP n’entre pas en considération.</w:t>
      </w:r>
    </w:p>
    <w:p>
      <w:r>
        <w:rPr>
          <w:b/>
        </w:rPr>
        <w:t>E. 5</w:t>
      </w:r>
    </w:p>
    <w:p>
      <w:r>
        <w:t>La recourante soutient que Z.________ aurait tenu des propos qui ont effrayé [...], notamment lorsqu’elle aurait surgi de derrière les poubelles pour s’en prendre aux enfants, en disant : « Si je vous vois dans la rue toi et ta famille et que je vous attrape, je vais vous casser… ! ». Elle estime que ce comportement était prémédité, dès lors que la prévenue aurait déclaré quelques jours avant, si on la comprend bien, lors de l’épisode de la montre connectée, qu’elle « allait venir régler ses comptes ». Par ailleurs, elle prétend que la prévenue ne serait pas entrée en contact avec le personnel scolaire en vue de résoudre les « présumées difficultés » rencontrées par sa fille Q.________.</w:t>
      </w:r>
    </w:p>
    <w:p>
      <w:r>
        <w:rPr>
          <w:b/>
        </w:rPr>
        <w:t>E. 5.1.1</w:t>
      </w:r>
    </w:p>
    <w:p>
      <w:r>
        <w:t>Selon l’art. 180 al. 1 CP, quiconque, par une menace alarme ou effraie une personne est,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w:t>
      </w:r>
    </w:p>
    <w:p>
      <w:r>
        <w:t>- 14 - effrayer la victime. Il convient à cet égard de tenir compte de la réaction qu’aurait une personne raisonnable face à une situation identique (ATF 122 IV 97 précité ; TF 6B_1314/2018 du 29 janvier 2019 consid. 3.2.1).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w:t>
      </w:r>
    </w:p>
    <w:p>
      <w:r>
        <w:rPr>
          <w:b/>
        </w:rPr>
        <w:t>E. 5.1.2</w:t>
      </w:r>
    </w:p>
    <w:p>
      <w:r>
        <w:t>Aux termes de l’art. 181 CP, quiconque, en usant de violence envers une personne ou en la menaçant d’un dommage sérieux, ou en l’entravant de quelque autre manière dans sa liberté d’action, l’oblige à faire, ne pas faire ou à laisser faire un acte est puni d’une peine privative de liberté de trois ans au plus ou d’une peine pécuniaire.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précité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w:t>
      </w:r>
    </w:p>
    <w:p>
      <w:r>
        <w:t>- 15 -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6B_637/2022 du 29 septembre 2022 consid. 5.1.2 ; TF 6B_1396/2021 du 28 juin 2022 consid. 3.1).</w:t>
      </w:r>
    </w:p>
    <w:p>
      <w:r>
        <w:rPr>
          <w:b/>
        </w:rPr>
        <w:t>E. 5.2</w:t>
      </w:r>
    </w:p>
    <w:p>
      <w:r>
        <w:t>On relève tout d’abord qu’il ressort du rapport du 27 septembre 2023 que son auteur, le Sgtm [...], s’est longuement entretenu avec la doyenne des écoles, K.________, qui lui a indiqué que certaines élèves avaient reconnu avoir embêté Q.________ alors qu’elle faisait sa récréation, assise sur un mur. Elle a encore précisé qu’une médiatrice était intervenue et qu’il avait été décidé que Q.________ intègrerait un nouvel établissement à [...] (P. 5, p. 3). De plus, lors de son audition, Z.________ a déclaré que, le 23 juin 2023, elle avait exposé la situation à l’enseignante qui était intervenue et qu’elle avait eu une séance avec la directrice (PV d’audition n° 2, R. 6). Il s’ensuit qu’il paraît erroné de soutenir, comme le fait la recourante, que la mère de Q.________ n’aurait pas essayé de trouver une solution avec le personnel scolaire, l’intervention de la doyenne des écoles et les déclarations de la prévenue semblant justement démontrer le contraire. Dans son acte de recours, A.G.________ fait valoir que Z.________ aurait déclaré, le 26 juin 2023, pendant la récréation : « Si je vous vois dans la rue toi et ta famille et que je vous attrape, je vais vous casser… ! ». Or, la plainte du 31 août 2023 ne mentionne absolument pas ces déclarations. En effet, la recourante s’est limitée à y indiquer que la prévenue avait empoigné sa fille, l’avait secouée et avait crié des « propos inconnus ». Elle n’a pas soutenu que des menaces auraient été formulées à cette occasion. Dans ces conditions, son argumentation selon laquelle les propos susmentionnés, qui auraient été tenus le 26 juin 2023, seraient constitutifs de menaces au sens de l’art. 180 al. 1 CP est vaine, puisqu’ils ne sont pas couverts par la plainte. Au surplus, le raisonnement du Ministère public sur les paroles qu’auraient prononcées</w:t>
      </w:r>
    </w:p>
    <w:p>
      <w:r>
        <w:t>- 16 - Z.________, via la montre connectée de sa fille, ne prête pas le flanc à la critique et peut être confirmé. En effet, l’annonce du passage d’une mère à l’école et d’éventuels « problèmes » pour la destinataire des propos n’est pas objectivement de nature à alarmer ou effrayer une personne, même mineure, au sens de la jurisprudence. Au demeurant, dans sa plainte, la recourante n’indique pas que sa fille B.G.________ aurait eu peur. Ce n’est du reste pas cette dernière qui l’a informée de l’incident, mais son autre fille, [...]. Enfin, le rapport médical du 24 juillet 2023 fait uniquement référence à une perte de poids en relation avec un évènement à l’école lors duquel une « maman aurait eu une altercation avec B.G.________ ». A aucun moment, il n’est fait allusion à l’incident de la montre connectée. Partant, c’est à juste titre que le Ministère public a estimé que les éléments constitutifs de l’art. 180 al. 1 CP n’étaient pas réalisés. Quant à la contrainte au sens de l’art. 181 CP évoquée par la recourante, on ne discerne pas quels faits dénoncés pourraient tomber sous le coup de cette infraction, le recours ne contenant aucune motivation à cet égard.</w:t>
      </w:r>
    </w:p>
    <w:p>
      <w:r>
        <w:rPr>
          <w:b/>
        </w:rPr>
        <w:t>E. 6</w:t>
      </w:r>
    </w:p>
    <w:p>
      <w:r>
        <w:t>La recourante expose que Z.________ s’en serait prise violemment à sa fille, en l’empoignant et en la secouant au point de lui causer des hématomes. Elle considère que ces faits sont constitutifs de lésions corporelles simples ou de voies de fait.</w:t>
      </w:r>
    </w:p>
    <w:p>
      <w:r>
        <w:rPr>
          <w:b/>
        </w:rPr>
        <w:t>E. 6.1.1</w:t>
      </w:r>
    </w:p>
    <w:p>
      <w:r>
        <w:t>Aux termes de l’art. 123 ch. 1 CP, quiconque, intentionnellement, fait subir à une personne une autre atteinte à l’intégrité corporelle ou à la santé est puni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w:t>
      </w:r>
    </w:p>
    <w:p>
      <w:r>
        <w:t>- 17 - l’aggrave ou en retarde la guérison, comme les blessures, les meurtrissures, les écorchures ou les griffures, sauf si ces lésions n’ont pas d’autres conséquences qu’un trouble passager et sans importance du sentiment de bien-être (ATF 134 IV 189 consid. 1.1).</w:t>
      </w:r>
    </w:p>
    <w:p>
      <w:r>
        <w:rPr>
          <w:b/>
        </w:rPr>
        <w:t>E. 6.1.2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6.2</w:t>
      </w:r>
    </w:p>
    <w:p>
      <w:r>
        <w:t>En l’espèce, il faut constater que la plainte déposée le 21 août 2023 ne mentionne pas la présence d’hématomes. Il en va de même du certificat médical du 24 juillet 2023. Il s’ensuit que l’art. 123 ch. 1 CP, qui réprime les lésions corporelles simples, n’entre pas en ligne de compte. Quant aux voies de fait, qui pourraient être réalisées s’agissant d’une empoignade, il y a lieu de retenir, à l’instar du Ministère public, que l’audition des enfants serait disproportionnée et inadéquate compte tenu de leur jeune âge, ce d’autant que B.G.________, qui connaît des problèmes de santé (cf. PV d’audition n° 1, annexe), aurait, selon sa mère, été traumatisée par cet évènement à la suite duquel elle aurait perdu du poids. Il n’y a pas non</w:t>
      </w:r>
    </w:p>
    <w:p>
      <w:r>
        <w:t>- 18 - plus matière à auditionner l’enseignante qui est intervenue dans le préau ni les enseignantes des enfants, dont on ignore au demeurant si elles ont été témoins des faits dénoncés, ces mesures d’instruction étant également disproportionnées au vu du contexte général dans lequel a eu lieu l’intervention de Z.________. En effet, comme l’a retenu le Ministère public, il ressort du rapport du Sgtm [...] que certaines filles ont reconnu avoir embêté Q.________, alors que celle-ci passait sa récréation calmement, assise sur un mur. De plus, la prévenue venait d’apprendre de sa fille qu’elle était harcelée par B.G.________ et son entourage (PV d’audition n° 2, R. 5), ce qui explique, sans évidemment l’excuser, la réaction qui lui est reprochée. Par ailleurs, même si la recourante conteste que son mari ait tenu les propos relatés par le Sgtm [...], il convient désormais de privilégier l’apaisement, d’autant que les deux filles ne sont plus scolarisées dans le même établissement. Il ressort également du dossier que si B.G.________ a été choquée par le comportement inadéquat qu’aurait adopté Z.________, l’enfant Q.________ a aussi connu des difficultés en lien avec le harcèlement scolaire qu’elle disait subir, de sorte qu’on ne voit pas que la poursuite de ce conflit par les adultes puisse apporter quoi que ce soit de positif à ces enfants. Enfin, si on peut comprendre que des parents déposent plainte pour de tels faits au moment de la rentrée des classes, on ne discerne pas de motifs qui imposeraient que le principe d’opportunité de la poursuite pénale ne soit pas appliqué ici. Partant, c’est à juste titre que le Ministère public a décidé, en application des art. 52 CP et 8 CPP, de ne pas entrer en matière sur la plainte.</w:t>
      </w:r>
    </w:p>
    <w:p>
      <w:r>
        <w:rPr>
          <w:b/>
        </w:rPr>
        <w:t>E. 7</w:t>
      </w:r>
    </w:p>
    <w:p>
      <w:r>
        <w:t>TFIP), le solde restant dû à l’Etat s’élevant à 1’320 francs. Par ces motifs, la Chambre des recours pénale prononce : I. Le recours est rejeté. II. L’ordonnance du 7 novembre 2023 est confirmée. III. Les frais d’arrêt, par 1’870 fr. (mille huit cent septante francs), sont mis à la charge de A.G.________. IV. Le montant de 550 fr. (cinq cent cinquante francs) versé par A.G.________ à titre de sûretés est imputé sur les frais mis à sa charge au chiffre III ci-dessus, le solde dû par celui-ci à l’Etat s’élevant à 1’320 fr. (mille trois cent vingt francs). V. L’arrêt est exécutoire. Le président : Le greffier : Du Le présent arrêt, dont la rédaction a été approuvée à huis clos, est notifié, par l'envoi d'une copie complète, à : - Me Dorothée Raynaud, avocate (pour A.G.________), - Ministère public central, et communiqué à : - Mme la Procureure de l’arrondissement de l’Est vaudois, - Mme Z.________,</w:t>
      </w:r>
    </w:p>
    <w:p>
      <w:r>
        <w:t>- 20 -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