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PE23.020864 vom 10. Juli 2024</w:t>
      </w:r>
    </w:p>
    <w:p>
      <w:r>
        <w:t>VD Tribunal cantonal, 2024-07-10, FR</w:t>
      </w:r>
    </w:p>
    <w:p>
      <w:r>
        <w:rPr>
          <w:b/>
        </w:rPr>
        <w:t xml:space="preserve">Quelle: </w:t>
      </w:r>
      <w:r>
        <w:t>https://mcp.opencaselaw.ch/entscheid/vd_gerichte_PE23.020864</w:t>
      </w:r>
    </w:p>
    <w:p>
      <w:r>
        <w:t>FR: VD_GERICHTE PE23.020864 du 10 juillet 2024</w:t>
      </w:r>
    </w:p>
    <w:p>
      <w:r>
        <w:t>IT: VD_GERICHTE PE23.020864 del 10 luglio 2024</w:t>
      </w:r>
    </w:p>
    <w:p>
      <w:pPr>
        <w:pStyle w:val="Heading2"/>
      </w:pPr>
      <w:r>
        <w:t>Erwägungen</w:t>
      </w:r>
    </w:p>
    <w:p>
      <w:r>
        <w:rPr>
          <w:b/>
        </w:rPr>
        <w:t>E. 2</w:t>
      </w:r>
    </w:p>
    <w:p>
      <w:r>
        <w:t>CPP ; ATF 138 IV 86 consid. 4.2 ; TF 7B_2/2022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précité). Il</w:t>
      </w:r>
    </w:p>
    <w:p>
      <w:r>
        <w:t>- 5 - faut être certain que l'état de fait ne constitue aucune infraction, ce qui est le cas lors de litiges purement civils. Une ordonnance de non-entrée en matière ne peut être rendue que dans les cas clairs du point de vue des faits et du droit. Par conséquent, dans le doute, il convient d'ouvrir une enquête pénale (ATF 137 IV 285 consid. 2.3 ; 6B_552/2013 du 9 janvier 2014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7B_24/2023 et 7B_25/2023 du 22 février 2024 consid. 3.2). 2.2.2 Aux termes de l'art. 146 al. 1 CP (Code pénal suisse du 21 décembre 1937 ; RS 311.0), se rend coupable d'escroquerie et sera puni d'une peine privative de liberté de cinq ans au plus ou d'une peine pécuniaire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Pour qu'il y ait escroquerie, une simple tromperie ne suffit pas ; il faut encore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ATF 142 IV 153 consid. 2.2.2; ATF 135 IV 76 consid. 5.2 ; TF 6B_1092/2023 du 24 mai 2024 consid.</w:t>
      </w:r>
    </w:p>
    <w:p>
      <w:r>
        <w:t>- 6 - 2.2). Celui qui promet une prestation sans avoir l'intention de l'exécuter agit astucieusement parce qu'en promettant, il donne le change sur ses véritables intentions, ce que sa victime est dans l'impossibilité de vérifier (ATF 118 IV 359 consid. 2 ; TF 6B_666/2023 du 29 janvier 2024 consid. 1.3.1).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(TF 6B_1092/2023 du 24 mai 2024 consid. 2.2).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consid. 3.3 ; TF 6B_1092/2023 précité).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ATF 142 IV 153 consid. 2.2.2 ; ATF 135 IV 76 consid. 5.2 ; TF 6B_1092/2023 précité). Les spécificités du contrat liant la victime et l'auteur peuvent jouer un rôle dans l'appréciation des vérifications que la dupe doit entreprendre (Dupuis et al. [éd.], Petit commentaire, Code pénal, 2e éd., Bâle 2017, n. 15 ad art. 146 CP).</w:t>
      </w:r>
    </w:p>
    <w:p>
      <w:r>
        <w:t>- 7 -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6B_1092/2023 précité). 2.2.3 Selon l’art. 138 ch. 1 CP, se rend coupable d’abus de confiance et sera puni d’une peine privative de liberté de cinq ans au plus ou d’une peine pécuniaire,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TF 6B_972/2022 du 12 janvier 2024 consid. 3.1).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En cas de prêt, il y a emploi illicite de l'argent confié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(ATF 129 IV 257 consid.</w:t>
      </w:r>
    </w:p>
    <w:p>
      <w:r>
        <w:t>- 8 - 2.2.2 ; ATF 124 IV 9 consid. 1 ; ATF 120 IV 117 consid. 2 ; TF 6B_918/2019 du 28 novembre 2019 consid. 4.1). D'un point de vue subjectif, l'auteur doit avoir agi intentionnellement et dans un dessein d'enrichissement illégitime, lequel peut être réalisé par dol éventuel (ATF 118 IV 32 consid. 2a).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ATF 118 IV 27 consid. 3a ; TF 6B_972/2022 précité consid. 3.1.6).</w:t>
      </w:r>
    </w:p>
    <w:p>
      <w:r>
        <w:rPr>
          <w:b/>
        </w:rPr>
        <w:t>E. 2.3</w:t>
      </w:r>
    </w:p>
    <w:p>
      <w:r>
        <w:t>En l'espèce, il y lieu de considérer qu'il existe des doutes quant à la commission d'une infraction. En effet, X.________ semble avoir été mis en confiance par un ami commun sur le sérieux du vendeur Y.________ et s'être ainsi rendu chez lui, en sa compagnie, en Italie. Là-bas, il aurait sélectionné les 30 véhicules qu'il souhaitait acheter et aurait discuté personnellement avec Y.________. Ce dernier n'aurait à aucun moment laissé entrevoir qu'il ne tiendrait pas parole. Après avoir attendu un an pour recevoir les neuf véhicules manquants sur les 30, X.________ aurait informé Y.________ qu'il entendait se départir du contrat et récupérer ses 387'000 euros correspondant à la valeur de ces neuf véhicules. Y.________ aurait accepté mais n'aurait finalement plus donné signe de vie, s'enrichissant ainsi de ce montant. Au vu de ce qui précède, X.________ pouvait de bonne foi croire que les 30 véhicules sélectionnés étaient à disposition et que Y.________ avait l'intention de les lui vendre contre paiement. Partant, dans la mesure où X.________ semble ne pas avoir reçu les neuf véhicules manquants ni le remboursement de leur valeur, il ne peut pas être exclu qu'il ait été victime d'un procédé astucieux constitutif d'une escroquerie, voire d'un abus de confiance. Il s’ensuit que les conditions strictes d’un refus d’entrer en matière posées par l’art. 310 al.</w:t>
      </w:r>
    </w:p>
    <w:p>
      <w:r>
        <w:t>- 9 - 1 let. a CPP ne sont pas réunies. Il appartiendra donc au Ministère public d’ouvrir une instruction pénale et de procéder à toutes les mesures d’instruction propres à établir les faits. A cet égard, on relèvera que l'identité de l'ami commun est connue et qu'il conviendra à tout le moins de procéder à son audition.</w:t>
      </w:r>
    </w:p>
    <w:p>
      <w:r>
        <w:rPr>
          <w:b/>
        </w:rPr>
        <w:t>E. 3</w:t>
      </w:r>
    </w:p>
    <w:p>
      <w:r>
        <w:t>En définitive, le recours doit être admis, l’ordonnance contestée annulée et le dossier de la cause renvoyé au Ministère public pour qu’il procède dans le sens des considérants. Vu l’admission du recours, les frais de la procédure, constitués du seul émolument d’arrêt, par 990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juste indemnité pour les dépenses occasionnées par l’exercice raisonnable de ses droits pour la procédure de recours, à la charge de l’Etat (art. 436 al. 3 CPP). Au vu du travail accompli par Me Bertrand Gygax, il sera retenu quatre heures d’activité nécessaire au tarif horaire de 300 fr. (art. 26a al. 3 TFIP [tarif des frais de procédure et indemnités en matière pénale du 28 septembre 2010 ; BLV 312.03.1]), soit 1'200 fr., à laquelle il faut ajouter 2 % pour les débours (art. 19 al. 2 TDC [tarif des dépens en matière civile du 23 novembre 2010 ; BLV 270.11.6] par renvoi de l'art. 26a al. 6 TFIP), soit 24 fr., et 8,1 % de TVA sur le tout, soit 99 fr.14, ce qui correspond à un total de 1’324 fr. en chiffres arrondis. Cette indemnité sera également laissée à la charge de l’Etat.</w:t>
      </w:r>
    </w:p>
    <w:p>
      <w:r>
        <w:t>- 10 - Par ces motifs, la Chambre des recours pénale prononce : I. Le recours est admis. II. L'ordonnance du 8 mai 2024 est annulée. III. Le dossier de la cause est renvoyé au Ministère public de l'arrondissement de l'Est vaudois pour qu'il procède dans le sens des considérants. IV. Les frais d'arrêt, par 990 fr. (neuf cent nonante francs), sont laissés à la charge de l'Etat. V. Une indemnité de 1'324 fr. (mille trois cent vingt-quatre francs) est allouée à X.________ pour la procédure de recours, à la charge de l'Etat. VI. L’arrêt est exécutoire. Le président : La greffière : Du Le présent arrêt, dont la rédaction a été approuvée à huis clos, est notifié, par l'envoi d'une copie complète, à : - Me Bertrand Gygax, avocat (pour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