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PE23.020571 vom 4. November 2024</w:t>
      </w:r>
    </w:p>
    <w:p>
      <w:r>
        <w:t>VD Tribunal cantonal, 2024-11-04, FR</w:t>
      </w:r>
    </w:p>
    <w:p>
      <w:r>
        <w:rPr>
          <w:b/>
        </w:rPr>
        <w:t xml:space="preserve">Quelle: </w:t>
      </w:r>
      <w:r>
        <w:t>https://mcp.opencaselaw.ch/entscheid/vd_gerichte_PE23.020571</w:t>
      </w:r>
    </w:p>
    <w:p>
      <w:r>
        <w:t>FR: VD_GERICHTE PE23.020571 du 4 novembre 2024</w:t>
      </w:r>
    </w:p>
    <w:p>
      <w:r>
        <w:t>IT: VD_GERICHTE PE23.020571 del 4 novembre 2024</w:t>
      </w:r>
    </w:p>
    <w:p>
      <w:pPr>
        <w:pStyle w:val="Heading2"/>
      </w:pPr>
      <w:r>
        <w:t>Erwägungen</w:t>
      </w:r>
    </w:p>
    <w:p>
      <w:r>
        <w:rPr>
          <w:b/>
        </w:rPr>
        <w:t>E. 1.1</w:t>
      </w:r>
    </w:p>
    <w:p>
      <w:r>
        <w:t>Les parties peuvent attaquer une ordonnance de non-entrée en matière rendue par le Ministère public en application de l'art. 310 CPP</w:t>
      </w:r>
    </w:p>
    <w:p>
      <w:r>
        <w:t>- 4 -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preuves qu’elle invoque (let. c). Les motifs au sens de l'art. 385 al. 1 let. b CPP doivent être étayés par le recourant sous l'angle des faits et du droit. La motivation d'un acte de recours doit être entièrement contenue dans l'acte lui-même et ne saurait être complétée ultérieurement (TF 7B_51/2024 du 25 avril 2024 consid. 2.2.2 ; TF 6B_1447/2022 du 14 mars 2023 consid. 1.1 et les réf. cit.). La motivation doit être complète, si bien qu'un simple renvoi à d'autres écritures n'est pas suffisant (TF 6B_1447/2022 précité ; cf. en lien avec l’art. 42 LTF [loi sur le Tribunal fédéral du 17 juin 2005 ; RS 173.110], ATF 140 III 115 consid. 2).</w:t>
      </w:r>
    </w:p>
    <w:p>
      <w:r>
        <w:rPr>
          <w:b/>
        </w:rPr>
        <w:t>E. 1.3</w:t>
      </w:r>
    </w:p>
    <w:p>
      <w:r>
        <w:t>En l’espèce, on comprend que le recourant conteste le fait que X.________ n’ait pas eu de dessein d’appropriation, malgré son courrier du 10 mai 2023, dans la mesure où, selon ses dires, au jour du recours, elle n’avait pas encore déposé à la justice de paix les documents et objets qu’elle avait annoncés vouloir déposer. Interjeté en temps utile devant l’autorité compétente et dans les formes prescrites (art. 385 et 396 CPP), par une partie plaignante qui a qualité pour recourir (art. 382 al. 1 CPP), le recours est recevable.</w:t>
      </w:r>
    </w:p>
    <w:p>
      <w:r>
        <w:rPr>
          <w:b/>
        </w:rPr>
        <w:t>E. 2</w:t>
      </w:r>
    </w:p>
    <w:p>
      <w:r>
        <w:t>- 5 -</w:t>
      </w:r>
    </w:p>
    <w:p>
      <w:r>
        <w:rPr>
          <w:b/>
        </w:rPr>
        <w:t>E. 2.1</w:t>
      </w:r>
    </w:p>
    <w:p>
      <w:r>
        <w:t>Le recourant affirme tout d’abord que la lettre du 10 mai 2023 de X.________ n’aurait été suivie d’aucun effet puisqu’elle n’aurait rien déposé à la justice de paix. Il conteste ensuite que le délai de plainte ait été échu car ce ne serait que le 22 mai 2023 qu’il aurait donné à La Poste Suisse un ordre de réacheminement, de sorte qu’entre le 12 avril 2023 (date de la remise à la justice de paix des courriers ouverts) et le 22 mai suivant, le courrier continuait d’arriver chez X.________, de sorte que sa plainte pénale du 17 août 2023 couvrait encore cette période et serait valable.</w:t>
      </w:r>
    </w:p>
    <w:p>
      <w:r>
        <w:t>- 6 -</w:t>
      </w:r>
    </w:p>
    <w:p>
      <w:r>
        <w:rPr>
          <w:b/>
        </w:rPr>
        <w:t>E. 2.2.1</w:t>
      </w:r>
    </w:p>
    <w:p>
      <w:r>
        <w:t>; ATF 138 IV 86 consid. 4.1 ; ATF 137 IV 219 consid. 7 ; TF 7B_139/2023 du 25 juin 2024 consid. 3.2 ; TF 7B_24/2023, 7B_25/2023 du 22 février 2024 consid. 3.2 ; TF 7B_27/2023 du 12 septembre 2023 consid. 3.2).</w:t>
      </w:r>
    </w:p>
    <w:p>
      <w:r>
        <w:t>- 7 -</w:t>
      </w:r>
    </w:p>
    <w:p>
      <w:r>
        <w:rPr>
          <w:b/>
        </w:rPr>
        <w:t>E. 2.2.2</w:t>
      </w:r>
    </w:p>
    <w:p>
      <w:r>
        <w:t>Aux termes de l’art. 137 ch. 1 CP dans sa teneur dès le 1er juillet 2023, quiconque, pour se procurer ou procurer à un tiers un enrichissement illégitime, s’approprie une chose mobilière appartenant à autrui, est puni d’une peine privative de liberté de trois ans au plus ou d’une peine pécuniaire, en tant que les conditions prévues aux art. 138 à 140 CP ne sont pas réalisées.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 ATF 121 IV 25 consid. 1c ; ATF 118 IV 148 consid. 2a ; TF 6B_70/2016 du 2 juin 2016 consid. 3.3.2). Il n'y a pas d'appropriation si d'emblée l'auteur veut rendre la chose intacte après un acte d'utilisation. Elle intervient cependant sans droit lorsque l'auteur ne peut la justifier par une prétention qui lui soit reconnue par l'ordre juridique (Corboz, Les infractions en droit suisse, vol. I, 3e éd., Berne 2010, n. 11 ad art. 137 CP). Par chose mobilière, il faut entendre un objet corporel non immobilier. Il s’agit d’une chose qui peut se transporter d’un lieu dans un autre, sans altération sensible de sa substance (art. 713 CC [Code civil suisse du 10 décembre 1907 ; RS 210] ; Steinauer, Les droits réels, Tome II, 3e éd., Berne 2002, n. 2898, p. 309). D’après la jurisprudence, la notion d’appartenance à autrui renvoie au droit de propriété défini par le droit privé (art. 641 ss CC ; ATF 132 IV 5 consid. 3.3 ; ATF 122 IV 179 consid. 3c/aa, JdT 1997 IV 135 ; ATF 88 IV 15 consid. 4, JdT 1962 IV 75). Il y a par conséquent appartenance à autrui lorsqu’une personne autre que l’auteur exerce un droit de propriété sur une chose donnée (ATF 142 IV 102 consid. 2 ; ATF 115 IV 105 consid.</w:t>
      </w:r>
    </w:p>
    <w:p>
      <w:r>
        <w:t>- 8 - 1b, JdT 1990 IV 139). En cas de propriété commune ou de copropriété, la chose est également la chose d’autrui au sens des art. 137 ss CP pour les propriétaires en commun ou pour les copropriétaires (Dupuis et al. [éd.], op. cit., nn. 14 et 15 ad remarques préliminaires aux art. 137 ss et les références citées). Sur le plan subjectif, l'auteur doit avoir agi intentionnellement et dans un dessein d’enrichissement illégitime (TF 6B_395/2015 du 25 novembre 2015 consid. 2.2) : il sait ou accepte que la chose appartient à autrui et a la volonté, au moins à titre éventuel, de l’incorporer à son patrimoine (Corboz, op. cit., n. 14 ad art. 137 CP et les références citées).</w:t>
      </w:r>
    </w:p>
    <w:p>
      <w:r>
        <w:rPr>
          <w:b/>
        </w:rPr>
        <w:t>E. 2.2.3</w:t>
      </w:r>
    </w:p>
    <w:p>
      <w:r>
        <w:t>Selon l’art. 138 ch. 1 CP, se rend coupable d’abus de confiance et est puni d’une peine privative de liberté de cinq ans au plus ou d’une peine pécuniaire, quiconque, pour se procurer ou procurer à un tiers un enrichissement illégitime, s’approprie une chose mobilière appartenant à autrui et qui lui a été confiée (al. 1), ou quiconque, sans droit, emploie à son profit ou au profit d’un tiers des valeurs patrimoniales qui lui ont été confiées (al. 2). Sur le plan objectif, cette infraction suppose qu'une chose mobilière ou 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 Corboz, Les infractions en droit suisse, vol. I, 3e éd., Berne 2010, n. 4 ad art. 138 CP). Le comportement délictueux consiste à utiliser la chose mobilière ou la valeur patrimoniale contrairement aux instructions reçues, en s'écartant de la destination fixée (ATF 129 IV 257 consid. 2.2.1 et les réf. citées).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w:t>
      </w:r>
    </w:p>
    <w:p>
      <w:r>
        <w:t>- 9 - comportement par lequel l'auteur démontre clairement sa volonté de ne pas respecter les droits de celui qui lui fait confiance (ATF 129 IV 257 précité consid. 2.2.1 ; ATF 121 IV 23 consid. 1c ; TF 6B_1017/2022- 6B_1029/2022 du 7 juin 2023 consid. 2.1). Du point de vue subjectif, l'auteur doit avoir agi intentionnellement et dans un dessein d'enrichissement illégitime, lequel peut être réalisé par dol éventuel (ATF 118 IV 32 consid. 2a ; TF 6B_1169/2022 du 30 juin 2023 consid. 2.2 ; TF 6B_595/2022 du 2 juin 2023 consid. 2.1.2).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ne tenir le bien confié à disposition de l'ayant droit qu'à un moment déterminé ou à l'échéance d'un délai déterminé ne s'enrichit illégitimement que s'il n'a pas la volonté et la capacité de le restituer à ce moment précis (ATF 133 IV 21 consid. 6.1.2 ; ATF 118 IV 27 consid. 3a ; TF 6B_1443/2021 du 13 février 2023 consid. 1.1.2). Le dessein d'enrichissement illégitime fait en revanche défaut si, au moment de l'emploi illicite de la valeur patrimoniale, l'auteur en paie la contre-valeur, s'il avait à tout moment ou, le cas échéant, à la date convenue à cet effet, la volonté et la possibilité de le faire (ATF 118 IV 32 précité).</w:t>
      </w:r>
    </w:p>
    <w:p>
      <w:r>
        <w:rPr>
          <w:b/>
        </w:rPr>
        <w:t>E. 2.2.4</w:t>
      </w:r>
    </w:p>
    <w:p>
      <w:r>
        <w:t>L’art. 139 ch. 1 CP dispose que quiconque, pour se procurer ou procurer à un tiers un enrichissement illégitime, soustrait une chose mobilière appartenant à autrui dans le but de se l’approprier est puni d’une peine privative de liberté de cinq ans au plus ou d’une peine pécuniaire. Les trois infractions précitées supposent un dessein d’enrichissement illégitime et un acte de soustraction. S’agissant de l’abus de confiance, il faut en outre que la chose ait été confiée.</w:t>
      </w:r>
    </w:p>
    <w:p>
      <w:r>
        <w:rPr>
          <w:b/>
        </w:rPr>
        <w:t>E. 2.2.5</w:t>
      </w:r>
    </w:p>
    <w:p>
      <w:r>
        <w:t>En application de l’art. 141 CP, quiconque, sans dessein d’appropriation, aura soustrait une chose mobilière à l’ayant droit et lui</w:t>
      </w:r>
    </w:p>
    <w:p>
      <w:r>
        <w:t>- 10 - aura causé par là un préjudice considérable sera, sur plainte, puni d’une peine privative de liberté ou d’une peine pécuniaire. Pour que cette infraction soit réalisée, encore faut-il un acte de soustraction. La notion de soustraction selon cette disposition a une acception plus large que dans le cadre de l’art. 139 CP, puisqu’elle englobe également le fait de dissimuler la chose, peu importe que la dissimulation soit passagère ou non (Dupuis et al. [2e éd.], Petit Commentaire du CP, n. 5 ad art. 141 CP, TF 6B_313/2008 du 25 juin 2008, consid. 2.3). Savoir s'il y a un préjudice considérable est une question d'appréciation et dépend des circonstances concrètes de chaque cas d'espèce ; les cas bagatelles sont exclus (Dupuis et al. [2e éd.], op. cit, n. 9 ad art. 141 CP). L’infraction n’est réalisée que si elle a été commise intentionnellement. L'élément subjectif doit englober le fait de causer un préjudice considérable. Le dol éventuel suffit (Dupuis et al. [2e éd.], op. cit., n. 16 ad art. 141 CP).</w:t>
      </w:r>
    </w:p>
    <w:p>
      <w:r>
        <w:rPr>
          <w:b/>
        </w:rPr>
        <w:t>E. 2.2.6</w:t>
      </w:r>
    </w:p>
    <w:p>
      <w:r>
        <w:t>Selon l'art. 30 al. 1 CP, si une infraction n'est punie que sur plainte – ce qui est le cas de la violation de secrets privés (art. 179 CP) –, toute personne lésée peut porter plainte contre l'auteur. Une plainte est valable selon l'art. 30 CP si l'ayant droit, avant l'échéance d'un délai de trois mois depuis que l'auteur de l'infraction lui est connu (art. 31 CP), manifeste sa volonté inconditionnelle que l'auteur de l'infraction soit poursuivi et que la procédure pénale se poursuive sans autre déclaration de sa volonté (ATF 141 IV 380 consid. 2.3.4 ; ATF 131 IV 97 consid. 3.1), dans les formes et auprès des autorités compétentes selon l'art. 304 al. 1 CPP (TF 7B_77/2022 précité consid. 3.1 ; TF 6B_501/2020 du 15 décembre 2020 consid. 1.1.1). Le point de départ du délai de trois mois de l’art. 31 CP est la connaissance de l'auteur et, bien entendu également, de l'infraction (ATF</w:t>
      </w:r>
    </w:p>
    <w:p>
      <w:r>
        <w:t>- 11 - 142 IV 129 consid. 4.3), plus précisément des éléments de fait qui constituent l'infraction (cf. ATF 126 IV 131 consid. 2a ; TF 7B_3/2022 et 7B_4/2022 du 1er février 2024 consid. 5.1 ; TF 6B_1356/2021 du 9 juin 2023 consid. 2.1.3 et les références citées). La connaissance par l'ayant droit doit être sûre et certaine, de sorte qu'il puisse considérer qu'une procédure dirigée contre l'auteur aura de bonnes chances de succès (ATF 142 IV 129 consid. 4.3 ; ATF 126 IV 131 consid. 2a). Il n'est en revanche pas nécessaire que l'ayant droit ait connaissance de la qualification juridique des faits (TF 7B_3/2022 et 7B_4/2022 précités consid. 5.1 ; TF 6B_152/2022 du 30 novembre 2022 consid. 3.1 ; TF 6B_1029/2020 du 5 octobre 2021 consid. 3.1.1). En outre, le délai ne court pas aussi longtemps que la commission d'une infraction demeure incertaine en raison de la situation factuelle (TF 6B_1356/2021 précité consid. 2.1.3 ; TF 6B_42/2021 du 8 juillet 2021 consid. 4.2.1 et les arrêts cités).</w:t>
      </w:r>
    </w:p>
    <w:p>
      <w:r>
        <w:rPr>
          <w:b/>
        </w:rPr>
        <w:t>E. 2.3</w:t>
      </w:r>
    </w:p>
    <w:p>
      <w:r>
        <w:t>En l’espèce, le dessein d’enrichissement nécessaire pour retenir l’infraction d’appropriation illégitime au sens de l’art. 137 CP, fait manifestement défaut. En effet, compte tenu de la nature des biens en cause (effets personnels du défunt pour la plupart) et de son courrier du 10 mai 2023, par lequel l’intimée manifeste son intention de déposer les objets à la justice de paix, cette dernière a clairement démontré qu’elle ne les considérait pas comme siens. Par ailleurs, l’infraction d’abus de confiance visée à l’art. 138 CP n’est manifestement pas applicable ici, à défaut de chose confiée à l’intimée. Enfin, le fait qu’X.________ n’ait pas encore déposé les objets de son compagnon défunt à la justice de paix ne signifie pas encore qu’elle aurait la volonté de s’enrichir en les conservant, preuve en est qu’elle a annoncé vouloir les remettre à la justice de paix. Faute de dessein d’enrichissement, les infractions d’appropriation illégitime et de vol décrites aux art. 137 et 139 CP paraissent exclues. S’agissant de l’infraction de soustraction d’une chose mobilière visée à l’art. 141 CP, le recourant se contente d’affirmer que l’intimée aurait une intention de soustraction de sorte que cette disposition</w:t>
      </w:r>
    </w:p>
    <w:p>
      <w:r>
        <w:t>- 12 - s’appliquerait à elle. Les objets dont il réclame la restitution ont cependant été en possession de l’intimée dès le début, puisqu’elle vivait avec leur propriétaire. Le recourant ne prétend pas non plus qu’elle les aurait dissimulés. Dans ces circonstances, et outre que la jurisprudence est muette sur la notion de cas bagatelle, l’existence même d’un acte de soustraction au sens de l’art. 141 CP paraît discutable de sorte qu’ici aussi, les conditions d’application de cette disposition ne sont pas réunies. Quant au caractère tardif de la plainte, le recourant admet avoir eu connaissance de l’éventuelle infraction au plus tard le 4 mai 2023, lorsque la justice de paix lui a adressé la liasse de courriers dont certains étaient ouverts. Ce faisant, le recourant ignore la portée de l’art. 31 CP. En effet, l’infraction de violation de secrets privés consiste à ouvrir du courrier par quelqu’un à qui ce courrier n'est pas destiné, mais pas à recevoir du courrier. Dès lors que le recourant n’allègue pas, ni ne démontre avoir reçu ou avoir eu connaissance d’autres courriers ouverts postérieurement à la date du 4 mai 2023, c’est à juste titre que la procureure a considéré que la plainte était tardive. Au vu de ce qui précède, c’est à bon droit que le Ministère public a rendu une ordonnance de non-entrée en matière, la commission d’une infraction pénale par X.________ étant manifestement exclue.</w:t>
      </w:r>
    </w:p>
    <w:p>
      <w:r>
        <w:rPr>
          <w:b/>
        </w:rPr>
        <w:t>E. 3</w:t>
      </w:r>
    </w:p>
    <w:p>
      <w:r>
        <w:t>En définitive, le recours, manifestement mal fondé, doit être rejeté sans échange d’écritures (art. 390 al. 2 CPP) et l’ordonnance attaquée confirmée. Les frais de la procédure de recours, constitués en l’espèce du seul émolument d’arrêt (art. 422 al. 1 CPP), par 1'210 fr. (art. 20 al. 1 TFIP [tarif des frais de procédure et indemnités en matière pénale du 28 septembre 2010 ; BLV 312.03.1]), seront mis à la charge du recourant, qui succombe (art. 428 al. 1 CPP). L'avance de frais de 770 fr. versée par le précité à titre de sûretés sera imputée sur les frais d'arrêt mis à sa charge (art. 7 TFIP), le solde en faveur de l’Etat s’élevant ainsi à 440 francs.</w:t>
      </w:r>
    </w:p>
    <w:p>
      <w:r>
        <w:t>- 13 - Par ces motifs, la Chambre des recours pénale prononce : I. Le recours est rejeté. II. L'ordonnance du 26 août 2024 est confirmée. III. Les frais d'arrêt, par 1'210 fr. (mille deux cent dix francs), sont mis à la charge de A.D.________. IV. Le montant de 770 fr. (sept cent septante francs) versé par A.D.________ à titre de sûretés est imputé sur les frais mis à sa charge au chiffre III ci-dessus, et le solde dû à l’Etat par celui-ci s’élève à 440 fr. (quatre cent quarante francs). V. L’arrêt est exécutoire. Le président : La greffière : Du Le présent arrêt, dont la rédaction a été approuvée à huis clos, est notifié, par l'envoi d'une copie complète, à : - M. A.D.________, - Me Daniel Jeanguenin, avocat (pour A.D.________),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w:t>
      </w:r>
    </w:p>
    <w:p>
      <w:r>
        <w:t>- 14 -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