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PE23.020532 vom 28. März 2024</w:t>
      </w:r>
    </w:p>
    <w:p>
      <w:r>
        <w:t>VD Tribunal cantonal, 2024-03-28, FR</w:t>
      </w:r>
    </w:p>
    <w:p>
      <w:r>
        <w:rPr>
          <w:b/>
        </w:rPr>
        <w:t xml:space="preserve">Quelle: </w:t>
      </w:r>
      <w:r>
        <w:t>https://mcp.opencaselaw.ch/entscheid/vd_gerichte_PE23.020532</w:t>
      </w:r>
    </w:p>
    <w:p>
      <w:r>
        <w:t>FR: VD_GERICHTE PE23.020532 du 28 mars 2024</w:t>
      </w:r>
    </w:p>
    <w:p>
      <w:r>
        <w:t>IT: VD_GERICHTE PE23.020532 del 28 marzo 2024</w:t>
      </w:r>
    </w:p>
    <w:p>
      <w:pPr>
        <w:pStyle w:val="Heading2"/>
      </w:pPr>
      <w:r>
        <w:t>Erwägungen</w:t>
      </w:r>
    </w:p>
    <w:p>
      <w:r>
        <w:rPr>
          <w:b/>
        </w:rPr>
        <w:t>E. 3</w:t>
      </w:r>
    </w:p>
    <w:p>
      <w:r>
        <w:t>En définitive, le recours doit être admis, l’ordonnance attaquée annulée et le dossier de la cause renvoyé au Ministère public pour qu’il procède dans le sens des considérants. Les frais de la procédure de recours, constitués en l'espèce de l'émolument d'arrêt, par 880 fr. (art. 20 al. 1 TFIP [tarif des frais de procédure et indemnités en matière pénale du 28 septembre 2010 ; BLV 312.03.1]), seront laissés à la charge de l’Etat (art. 428 al. 4 CPP). Le recourant, qui obtient gain de cause et qui a procédé avec l’assistance d’un mandataire professionnel, a droit à une juste indemnité pour les dépenses occasionnées par l’exercice raisonnable de ses droits pour la procédure de recours, à la charge de l’Etat (art. 436 al. 3 CPP ; TF 6B_1004/2015 du 5 mai 2016 consid. 1.3 ; Jositsch/Schmid, Schweizerische</w:t>
      </w:r>
    </w:p>
    <w:p>
      <w:r>
        <w:t>- 8 - Strafprozessordnung, Praxiskommentar, 3e éd., 2023, n. 4 ad art. 436 CPP). Les avocats du recourant ont déposé une liste d’opérations indiquant 10h45 de travail. Le temps consacré à la rédaction et à la finalisation du recours, ainsi qu’aux recherches juridiques, soit 9h30 au total, est excessif, compte tenu du volume du dossier, qui ne contient que la plainte pénale, de la difficulté de la cause et de l’infraction en cause, bien connue des avocats, soit l’escroquerie, dont les règles de droit et la jurisprudence, axée principalement sur l’élément de l’astuce, sont faciles à trouver. Il sera par conséquent retenu 5 heures d’activité nécessaire. Au tarif horaire de 300 fr. (art. 26a al. 3 TFIP [tarif des frais de procédure et indemnités en matière pénale du 28 septembre 2010 ; BLV 312.03.1]), le défraiement s’élève à 1’500 francs. Il faut y ajouter 2 % pour les débours forfaitaires (art. 3bis al. 1 RAJ [règlement sur l'assistance judiciaire en matière civile du 7 décembre 2010 ; BLV 211.02.3] par renvoi de l’art. 26a al. 6 TFIP), soit 30 fr., et 7,7 % de TVA sur le tout, s’agissant d’opérations effectuées en 2023, soit 117 fr. 80, ce qui représente une indemnité de 1'648 fr. en chiffres arrondis. Par ces motifs, la Chambre des recours pénale prononce : I. Le recours est admis. II. L’ordonnance du 30 novembre 2023 est annulée. III. Le dossier de la cause est renvoyé au Ministère public de l’arrondissement de La Côte pour qu’il procède dans le sens des considérants. IV. Une indemnité de 1'648 fr. est allouée à B.________ pour la procédure de recours, à la charge de l’Etat. V. Les frais d’arrêt, par 880 fr. (huit cent huitante francs), sont laissés à la charge de l’Etat.</w:t>
      </w:r>
    </w:p>
    <w:p>
      <w:r>
        <w:t>- 9 - IV. L’arrêt est exécutoire. Le président : La greffière : Du Le présent arrêt, dont la rédaction a été approuvée à huis clos, est notifié, par l'envoi d'une copie complète, à : - Mes Frédéric Serra et Melina Haralabopoulos, avocats (pour B.________), - Ministère public central ; et communiqué à : - Mme la Procureure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