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PE23.019947 vom 11. März 2024</w:t>
      </w:r>
    </w:p>
    <w:p>
      <w:r>
        <w:t>VD Tribunal cantonal, 2024-03-11, FR</w:t>
      </w:r>
    </w:p>
    <w:p>
      <w:r>
        <w:rPr>
          <w:b/>
        </w:rPr>
        <w:t xml:space="preserve">Quelle: </w:t>
      </w:r>
      <w:r>
        <w:t>https://mcp.opencaselaw.ch/entscheid/vd_gerichte_PE23.019947</w:t>
      </w:r>
    </w:p>
    <w:p>
      <w:r>
        <w:t>FR: VD_GERICHTE PE23.019947 du 11 mars 2024</w:t>
      </w:r>
    </w:p>
    <w:p>
      <w:r>
        <w:t>IT: VD_GERICHTE PE23.019947 del 11 marzo 2024</w:t>
      </w:r>
    </w:p>
    <w:p>
      <w:pPr>
        <w:pStyle w:val="Heading2"/>
      </w:pPr>
      <w:r>
        <w:t>Erwägungen</w:t>
      </w:r>
    </w:p>
    <w:p>
      <w:r>
        <w:rPr>
          <w:b/>
        </w:rPr>
        <w:t>E. 1.1</w:t>
      </w:r>
    </w:p>
    <w:p>
      <w:r>
        <w:t>Selon l’art. 3 al. 2 LVCPP (loi vaudoise d’introduction du Code de procédure pénale suisse du 19 mai 2009 ; BLV 312.01), le Ministère</w:t>
      </w:r>
    </w:p>
    <w:p>
      <w:r>
        <w:t>- 4 - public et le préfet sont notamment compétents pour poursuivre et juger les contraventions de droit fédéral au sens de l’art. 17 CPP (cf. art. 18 al. 1 let. a LPréf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 Il en va ainsi de la décision par laquelle le préfet prend acte du retrait de l’opposition et déclare l’ordonnance pénale exécutoire, par exemple pour cause de défaut de l’opposant à l’audience à laquelle il a été assigné (art. 355 al. 2 CPP). Interjeté en temps utile devant l’autorité compétente par le prévenu qui a qualité pour recourir (art. 382 al. 1 CPP) et dans les formes prescrites (art. 385 al. 1 CPP), le recours est recevable.</w:t>
      </w:r>
    </w:p>
    <w:p>
      <w:r>
        <w:rPr>
          <w:b/>
        </w:rPr>
        <w:t>E. 1.2</w:t>
      </w:r>
    </w:p>
    <w:p>
      <w:r>
        <w:t>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de sorte que la cause relève de la compétence d'un membre de la Chambre des recours pénale qui statue en tant que juge unique (art. 13 al. 2 LVCPP).</w:t>
      </w:r>
    </w:p>
    <w:p>
      <w:r>
        <w:rPr>
          <w:b/>
        </w:rPr>
        <w:t>E. 2.1</w:t>
      </w:r>
    </w:p>
    <w:p>
      <w:r>
        <w:t>Le recourant relève qu’il n’a pas retiré le mandat de comparution du 13 septembre 2023 et soutient qu’il n’avait aucune raison de s’attendre à recevoir un tel acte, dès lors qu’il n’avait pas été informé qu’une instruction pénale avait été ouverte à son encontre. Le mandat lui ayant ensuite été adressé sous pli simple, il reproche au Préfet d’avoir fait application d’une double fiction de notification et de retrait de l’opposition</w:t>
      </w:r>
    </w:p>
    <w:p>
      <w:r>
        <w:t>- 5 - et soutient qu’il n’était pas possible, dans ces circonstances, de considérer son opposition comme retirée. Pour le surplus, invoquant une mauvaise appréciation des faits, le recourant plaide le fond, faisant valoir qu’il ne pourrait être condamné pour une infraction qu’il n’aurait pas commise.</w:t>
      </w:r>
    </w:p>
    <w:p>
      <w:r>
        <w:rPr>
          <w:b/>
        </w:rPr>
        <w:t>E. 2.2.1</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(TF 6B_934/2018 du 9 novembre 2018 consid. 2.1; TF 6B_233/2017 du 12 décembre 2017 consid. 2.1;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 TF 6B_1354/2023 du 23 janvier 2024 consid. 9).</w:t>
      </w:r>
    </w:p>
    <w:p>
      <w:r>
        <w:t>- 6 -</w:t>
      </w:r>
    </w:p>
    <w:p>
      <w:r>
        <w:rPr>
          <w:b/>
        </w:rPr>
        <w:t>E. 2.2.2</w:t>
      </w:r>
    </w:p>
    <w:p>
      <w:r>
        <w:t>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6B_667/2021 du 4 juillet 2022 consid. 2.1 ; TF 6B_1511/2021 du 9 février 2022 consid. 6 ; TF 6B_1113/2020 du 25 mars 2021 consid. 3.1 et les références citées). En matière d’ordonnance pénale, le défaut de celui qui a formé opposition est réglé de manière spécifique. L'art. 355 al. 2 CPP prévoit que si l'opposant, sans excuse, fait défaut à une audition devant le Ministère public malgré une citation à comparaître,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précité consid. 1.1.1 ; ATF 142 IV 158 précité consid. 3.1 et 3.5 ; TF 6B_568/2022 du 23 juin 2023 consid. 1.2).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 1 CEDH [Convention de sauvegarde des droits de l’homme et des libertés fondamentales du</w:t>
      </w:r>
    </w:p>
    <w:p>
      <w:r>
        <w:rPr>
          <w:b/>
        </w:rPr>
        <w:t>E. 2.3</w:t>
      </w:r>
    </w:p>
    <w:p>
      <w:r>
        <w:t>En l’espèce, il ressort des pièces au dossier que le recourant n’a pas retiré la citation à comparaître à l’audience du 4 octobre 2023 qui lui avait été adressée sous pli recommandé le 13 septembre 2023, laquelle a été retournée à la Préfecture du district Riviera – Pays-d’Enhaut avec la mention « non réclamé ». Contrairement à ce qu’affirme le recourant, il pouvait s’attendre à recevoir un pli recommandé, dès lors qu’il avait fait opposition à l’ordonnance pénale du 14 juillet 2023. Cela étant, compte tenu de la jurisprudence précitée et quand bien même ladite convocation lui a également été adressée sous pli simple, on ne saurait déduire de la fiction de la notification qu’il aurait eu connaissance de la citation à comparaître et de la sanction prévue en cas de défaut de comparution, sauf à admettre une double fiction (de la notification de la citation et du retrait de l’opposition), qui n’est pas opposable au prévenu. Dans ces circonstances et au regard de la jurisprudence restrictive du</w:t>
      </w:r>
    </w:p>
    <w:p>
      <w:r>
        <w:t>- 8 - Tribunal fédéral en la matière, la fiction légale de retrait d’opposition découlant d’un défaut à l’audience, consacrée par l’art. 355 al. 2 CPP, ne saurait être appliquée faute de pouvoir établir une connaissance effective par le prévenu de la convocation et de ses conséquences, les éléments au dossier ne permettant au demeurant pas de retenir un comportement constitutif d’un abus de droit de sa part. En conséquence, le Préfet ne pouvait pas considérer que l’opposition était réputée retirée et il lui appartiendra de se prononcer sur la recevabilité de l’opposition et, le cas échéant, d’examiner les moyens de fond du recourant. 3. En définitive, le recours doit être admis, l’ordonnance entreprise annulée et le dossier de la cause renvoyé au Préfet du district Riviera – Pays-d’Enhaut pour qu’il procède dans le sens du considérant qui précède. Vu l’admission du recours, les frais de la procédure, constitués en l'espèce du seul émolument d'arrêt, par 720 fr. (art. 20 al. 1 TFIP [tarif des frais de procédure et indemnités en matière pénale du 28 septembre 2010 ; BLV 312.03.1]), seront laissés à la charge de l'Etat (art. 428 al. 4 CPP). Le recourant, qui a procédé avec l’assistance d’une mandataire professionnelle et qui a obtenu gain de cause, a droit, à la charge de l’Etat, à une juste indemnité pour les dépenses occasionnées par la procédure de recours (art. 429 al. 1 let. a CPP, applicable par renvoi de l’art. 436 al. 1 et 2 CPP). Il a conclu à l’allocation d’une indemnité de 989 fr. à ce titre, correspondant à 3 heures d’activité d’avocat au tarif horaire de 300 fr., à des débours forfaitaires à hauteur de 2 %, par 18 fr., et à la TVA au taux de 7,7 %, par 70 fr. 70, sans toutefois détailler les opérations effectuées. Cette durée est excessive au vu de la nature de l’affaire – l’objet du recours se limitant à la question de la double fiction – et du mémoire produit, 2 heures apparaissant suffisantes pour effectuer toutes les opérations nécessaires dans le cadre de la procédure de</w:t>
      </w:r>
    </w:p>
    <w:p>
      <w:r>
        <w:t>- 9 - recours. L’affaire étant simple en fait et en droit, il y a par ailleurs lieu d’appliquer un tarif horaire de 250 fr., équivalant au tarif minimal prévu à l’art. 26a al. 3 TFIP. Ainsi, tout bien considéré, cette indemnité sera fixée à 500 fr., correspondant à 2 h 00 d’activité nécessaire d’avocat au tarif horaire de 250 fr., montant auquel il convient d’ajouter des débours forfaitaires à concurrence de 2 % des honoraires admis (art. 19 al. 2 TDC [tarif des dépens en matière civile du 23 novembre 2010 ; BLV 270.11.6], applicable par renvoi de l’art. 26a al. 6 TFIP), par 10 fr., plus un montant correspondant à la TVA au taux de 7,7 %, s’agissant uniquement d’opérations antérieures au 1er janvier 2024, par 39 fr. 25, soit à 550 fr. au total en chiffres arrondis. Par ces motifs, la juge unique prononce : I. Le recours est admis. II. L’ordonnance du 5 octobre 2023 est annulée. III. Le dossier de la cause est renvoyé au Préfet du district Riviera – Pays-d’Enhaut pour qu’il procède dans le sens des considérants. IV. Les frais d’arrêt, par 720 fr. (sept cent vingt francs), sont laissés à la charge de l’Etat. V. Une indemnité de 550 fr. (cinq cent cinquante francs) est allouée à A.________ pour la procédure de recours, à la charge de l’Etat. VI. L’arrêt est exécutoire. La juge unique : La greffière :</w:t>
      </w:r>
    </w:p>
    <w:p>
      <w:r>
        <w:t>- 10 - Du Le présent arrêt, dont la rédaction a été approuvée à huis clos, est notifié, par l'envoi d'une copie complète, à : - Me Audrey Pion, avocate (pour A.________), - Ministère public central, et communiqué à : - M. le Préfet du district Riviera – Pays-d’Enhaut,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novembre 1950 ; RS 0.101]), dont l’opposition (cf. art. 354 CPP) vise à assurer le respect en conférant à la personne concernée la faculté de</w:t>
      </w:r>
    </w:p>
    <w:p>
      <w:r>
        <w:t>- 7 - soumettre sa cause à l’examen d’un tribunal (ATF 149 IV 9 consid. 7.1 ;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précité ; ATF 142 IV 158 précité consid. 3.1 ss ; ATF 140 IV 82 précité consid. 2.3 et 2.5 ; TF 6B_600/2022 du 17 août 2022 consid. 1.3).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du 17 avril 2020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