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PE23.019774 vom 12. November 2024</w:t>
      </w:r>
    </w:p>
    <w:p>
      <w:r>
        <w:t>VD Tribunal cantonal, 2024-11-12, FR</w:t>
      </w:r>
    </w:p>
    <w:p>
      <w:r>
        <w:rPr>
          <w:b/>
        </w:rPr>
        <w:t xml:space="preserve">Quelle: </w:t>
      </w:r>
      <w:r>
        <w:t>https://mcp.opencaselaw.ch/entscheid/vd_gerichte_PE23.019774</w:t>
      </w:r>
    </w:p>
    <w:p>
      <w:r>
        <w:t>FR: VD_GERICHTE PE23.019774 du 12 novembre 2024</w:t>
      </w:r>
    </w:p>
    <w:p>
      <w:r>
        <w:t>IT: VD_GERICHTE PE23.019774 del 12 novembre 2024</w:t>
      </w:r>
    </w:p>
    <w:p>
      <w:pPr>
        <w:pStyle w:val="Heading2"/>
      </w:pPr>
      <w:r>
        <w:t>Erwägungen</w:t>
      </w:r>
    </w:p>
    <w:p>
      <w:r>
        <w:rPr>
          <w:b/>
        </w:rPr>
        <w:t>E. 10</w:t>
      </w:r>
    </w:p>
    <w:p>
      <w:r>
        <w:t>Violation de la présomption d’innocence</w:t>
      </w:r>
    </w:p>
    <w:p>
      <w:r>
        <w:rPr>
          <w:b/>
        </w:rPr>
        <w:t>E. 10.1</w:t>
      </w:r>
    </w:p>
    <w:p>
      <w:r>
        <w:t>L’appelant soutient que l’appréciation du Tribunal correctionnel procéderait d’une violation de la présomption d’innocence, ce en lien avec les chefs de prévention de lésions corporelles simples (qualifiées) quant au chiffre n° 2 de l’acte d’accusation, de tentative de lésions corporelles graves, d’interruption de grossesse punissable, de mise en danger de la vie d’autrui et de menaces qualifiées.</w:t>
      </w:r>
    </w:p>
    <w:p>
      <w:r>
        <w:rPr>
          <w:b/>
        </w:rPr>
        <w:t>E. 10.2.1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ainsi que son corollaire, le principe in dubio pro reo,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 TF 68_47/2018 consid. 1.1). Comme règle d'appréciation des preuves, elle signifie que le juge ne doit pas se déclarer convaincu de l'existence d'un fait défavorable à l'accusé si, d'un point de vue objectif, il existe des</w:t>
      </w:r>
    </w:p>
    <w:p>
      <w:r>
        <w:t>- 28 -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prohibant une appréciation reposant sur des preuves inadéquates ou sans pertinence (ATF 144 IV 345 consid. 2.2.3.3 ; ATF 143 IV 500 consid. 1.1 ; ATF 138 V 74 consid. 7).</w:t>
      </w:r>
    </w:p>
    <w:p>
      <w:r>
        <w:rPr>
          <w:b/>
        </w:rPr>
        <w:t>E. 10.2.2</w:t>
      </w:r>
    </w:p>
    <w:p>
      <w:r>
        <w:t>L'art. 123 CP réprime les lésions du corps humain ou de la santé qui ne peuvent être qualifiées de graves au sens de l'art. 122 CP. Cette disposition protège l'intégrité corporelle et la santé tant physique que psychique. Elle implique une atteinte importante aux biens juridiques ainsi protégés. A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 p. 191 ; TF 6B_813/2024 du 10 janvier 2025 consid. 2.1). Les voies de fait, réprimées par l'art. 126 CP, se définissent comme des atteintes physiques qui excèdent ce qui est socialement toléré et qui ne causent ni lésions corporelles, ni dommage à la santé. Une telle atteinte peut exister même si elle n'a causé aucune douleur physique (ATF 134 IV 189 consid. 1.2 p. 191). La distinction entre lésions corporelles et voies de fait peut s'avérer délicate, notamment lorsque l'atteinte s'est limitée à des meurtrissures, des écorchures, des griffures ou des contusions. La question peut parfois être résolue de manière satisfaisante par</w:t>
      </w:r>
    </w:p>
    <w:p>
      <w:r>
        <w:t>- 29 - l'application de l'art. 123 ch. 1 al. 2 CP, qui permet une atténuation libre de la peine dans les cas de peu de gravité. Dans les cas limites, il faut tenir compte de l'importance de la douleur provoquée, afin de déterminer s'il s'agit de lésions corporelles simples ou de voies de fait (ATF 134 IV 189 consid. 1.3 p. 192). Comme les notions de voies de fait et d'atteinte à l'intégrité corporelle, qui sont décisives pour l'application des art. 123 et 126 CP, sont des notions juridiques indéterminées, la jurisprudence reconnaît, dans ces cas, une certaine marge d'appréciation au juge du fait car l'établissement des faits et l'interprétation de la notion juridique indéterminée sont étroitement liés (TF 6B_385/2020 du 12 août 2020 consid. 2.1) Se rend coupable de lésions corporelles graves au sens de l'art. 122 CP quiconque aura blessé une personne de façon à mettre sa vie en danger, aura mutilé le corps d'une personne, un de ses membres ou un de ses organes importants ou causé à une personne une incapacité de travail, une infirmité ou une maladie mentale permanentes, ou aura défiguré une personne d'une façon grave et permanente, ou aura fait subir à une personne toute autre atteinte grave à l'intégrité corporelle ou à la santé physique. La qualification juridique des lésions corporelles à la suite de coups de poing ou de pied dépend des circonstances concrètes du cas. Sont en particulier déterminantes la violence des coups portés et la constitution de la victime (TF 6B_1151/2020 du 8 avril 2021 consid. 2.3 ; TF 6B_139/2020 du 1er mai 2020 consid. 2.3 ; TF 6B_1385/2019 du 27 février 2020 consid. 4.3.1 ; TF 6B_924/2017 du 14 mars 2018 consid. 1.3.1 ; TF 6B_388/2012 du 12 novembre 2012 consid. 2.1.1 et 2.4). Selon la jurisprudence, le fait de porter des coups à la tête avec les poings, les pieds ou d'autres objets dangereux tels qu'une bouteille en verre est susceptible d'entraîner de graves lésions et même la mort de la victime, ce risque étant d'autant plus grand lorsque celle-ci gît au sol sans être en mesure de réagir ou de se défendre, notamment lorsqu'elle est inconsciente (cf. ATF 135 IV 152 consid. 2.3.2.2 p. 157 ; TF 6B_1151/2020 du 8 avril 2021 consid. 2.3 et les réf. citées). Dans d'autres cas, des coups</w:t>
      </w:r>
    </w:p>
    <w:p>
      <w:r>
        <w:t>- 30 - de poing ont été qualifiés de lésions corporelles simples (ATF 119 IV 25 consid. 2 p. 26s. ; TF 6B_151/2011 du 20 juin 2011 consid. 3 ; TF 6S.386/2003 du 18 mai 2004 consid. 3).</w:t>
      </w:r>
    </w:p>
    <w:p>
      <w:r>
        <w:rPr>
          <w:b/>
        </w:rPr>
        <w:t>E. 10.2.3.1</w:t>
      </w:r>
    </w:p>
    <w:p>
      <w:r>
        <w:t>Il y a tentative (art. 22 al. 1 CP) lorsque l'auteur a réalisé tous les éléments subjectifs de l'infraction et manifesté sa décision de la commettre, alors que les éléments objectifs font, en tout ou en partie, défaut (ATF 140 IV 150 consid. 3.4 ; ATF 137 IV 113 consid. 1.4.2 ; TF 6B_900/2022 du 22 mai 2023 consid. 2.1.4 non publié in ATF 149 IV 266). La frontière entre le commencement de l'exécution de l'infraction et les actes préparatoires est délicate à fixer. La simple décision de commettre une infraction qui n'est suivie d'aucun acte n'est pas punissable. En revanche, le seuil de la tentative est assurément franchi lorsque l'auteur, en prenant la décision d'agir, a réalisé un élément objectif constitutif de l'infraction. D'après la jurisprudence, il y a commencement d'exécution dès que l'auteur accomplit un acte qui représente, dans son esprit, la démarche ultime et décisive vers la réalisation de l'infraction, celle après laquelle il n'y aura en principe plus de retour en arrière, sauf apparition ou découverte de circonstances extérieures compliquant trop ou rendant impossible la poursuite de l'entreprise. La distinction entre les actes préparatoires et ceux constitutifs d'un début d'exécution de l'infraction doit être opérée au moyen de critères tant subjectifs qu'objectifs. En particulier, le seuil à partir duquel il y a tentative ne doit pas précéder de trop longtemps la réalisation proprement dite de l'infraction. En d'autres termes, le commencement direct de la réalisation de l'infraction exige des actes proches de l'infraction tant du point de vue du lieu que de celui du moment (ATF 131 IV 100 consid. 7.2.1 ; TF 6B_852/2024 du 18 février 2025, destiné à la publication, consid. 2.1.1 et les réf. citées).</w:t>
      </w:r>
    </w:p>
    <w:p>
      <w:r>
        <w:rPr>
          <w:b/>
        </w:rPr>
        <w:t>E. 10.2.3.2</w:t>
      </w:r>
    </w:p>
    <w:p>
      <w:r>
        <w:t>Selon l'art. 12 al. 2 CP, agit intentionnellement quiconque commet un crime ou un délit avec conscience et volonté, l'auteur agissant déjà intentionnellement lorsqu'il tient pour possible la réalisation de l'infraction et l'accepte au cas où celle-ci se produirait. Il y a dol éventuel dans cette dernière hypothèse même si l'auteur juge cette conséquence</w:t>
      </w:r>
    </w:p>
    <w:p>
      <w:r>
        <w:t>- 31 - indésirable et ne la souhaite pas (ATF 150 IV 10 consid. 5.7.2 ; ATF 149 IV 248 consid. 6.3 ; ATF 147 IV 439 consid. 7.3.1 ; ATF 137 IV 1 consid. 4.2.3 ; TF 6B_981/2024 du 17 janvier 2025 consid. 3.1). La tentative suppose toujours un comportement intentionnel, le dol éventuel étant toutefois suffisant (ATF 122 IV 246 consid. 3a ; ATF 120 IV 17 consid. 2c ; TF 6B_418/2021 du 7 avril 2022 consid. 3.2.1). Une tentative par dol éventuel ne suppose pas une certitude quant à la réalisation de l'élément objectif de l'infraction, mais le risque de la survenance du résultat de l'infraction reprochée, tel qu'il apparaît à la lumière des circonstances et de l'expérience générale de la vie (TF 6B_264/2022 du 8 mai 2023 consid. 2.7).</w:t>
      </w:r>
    </w:p>
    <w:p>
      <w:r>
        <w:rPr>
          <w:b/>
        </w:rPr>
        <w:t>E. 10.2.3.3</w:t>
      </w:r>
    </w:p>
    <w:p>
      <w:r>
        <w:t>Il y a concours imparfait de lois lorsque, comme dans le cas de la spécialité, la définition légale d'une disposition spéciale renferme en elle-même tous les éléments constitutifs d'une disposition générale ou lorsque, comme dans le cas de l'absorption, l'une des deux dispositions considérées embrasse l'autre, sinon dans tous ses éléments constitutifs à tout le moins dans ses éléments essentiels que sont la culpabilité et l'illicéité, de telle sorte que cette disposition absorbe l'autre (ATF 135 IV 152 consid. 2.1.2 ; ATF 91 IV 211 consid. 4).</w:t>
      </w:r>
    </w:p>
    <w:p>
      <w:r>
        <w:rPr>
          <w:b/>
        </w:rPr>
        <w:t>E. 10.2.4</w:t>
      </w:r>
    </w:p>
    <w:p>
      <w:r>
        <w:t>Aux termes de l’art. 118 al. 2 CP, se rend coupable d’interruption punissable de grossesse quiconque interrompt la grossesse d’une femme sans son consentement. L’interruption de grossesse est constituée par la destruction du fruit de la conception pendant son développement ultra-utérin, que l’embryon soit viable ou non (Corboz, les infractions en droit suisse, 3e éd., n. 8 ad art. 118 CP, p. 100). Infraction de résultat, l’art. 118 CP est consommé par la destruction de l’embryon (Dupuis et alii, op. cit., n. 7 ad art. 118 CP ; Corboz, op. cit., n. 14 ad art. 118 CP, p. 100). A défaut de destruction du fruit de la conception, il ne peut y avoir que tentative (Corboz, op. cit., n. 16 ad art. 118 CP, p. 101). La grossesse se termine dès le début de l’accouchement, c’est-à-dire dès les premières opérations</w:t>
      </w:r>
    </w:p>
    <w:p>
      <w:r>
        <w:t>- 32 - d’expulsion de l’enfant vivant, la vie étant alors protégée par les dispositions réprimant l’homicide (ATF 119 IV 207 consid. 2 ; Corboz, op. cit., n. 12 ad art. 118 CP, p. 100). Il s’agit d’une infraction intentionnelle, l’interruption de grossesse par négligence n’étant pas punissable (ATF 119 IV 207 consid. 2). Le dol éventuel suffit (Corboz, op. cit., n. 32 ad art. 118 CP, p. 103). Il y a également tentative par dol éventuel (untauglicher Versuch) lorsque le fruit de la conception était déjà mort (Trechsel/Geth, in : Trechsel/Pieth [éd.], Schweizerisches Strafgesetzbuch, Praxiskommetar, 4e éd., 2021, n. 8 ad art. 118 CP). Pour que l’infraction soit réalisée, il faut que l’auteur adopte un comportement propre à détruire le fruit de la conception, après nidation, pendant son développement intra-utérin, le critère étant constitué par la nidation, et non par la fécondation. Les moyens employés et la manière de procéder sont sans importance. Il suffit que l’acte soit propre à produire le résultat (Corboz, op. cit., n. 15 ad art. 118 CP, p. 101). Enfin, il doit exister un rapport de causalité (naturelle et adéquate) entre le comportement de l’auteur (les manœuvres abortives) et la destruction du fruit de la conception (Corboz, op. cit., n. 17 ad art. 118 CP, p. 101).</w:t>
      </w:r>
    </w:p>
    <w:p>
      <w:r>
        <w:t>- 33 -</w:t>
      </w:r>
    </w:p>
    <w:p>
      <w:r>
        <w:rPr>
          <w:b/>
        </w:rPr>
        <w:t>E. 10.3.1</w:t>
      </w:r>
    </w:p>
    <w:p>
      <w:r>
        <w:t>S’agissant du chef de prévention de lésions corporelles simples (qualifiées), en relation avec le chiffre n° 2 de l’acte d’accusation, le jugement décrit les lésions incriminées et le mode opératoire de l’auteur, ce sur la base des déclarations de la plaignante, dont il a été vu qu’elle devait être tenue pour crédible. Effectuée à satisfaction de droit, l'appréciation des preuves ne viole donc pas la présomption d’innocence. A défaut de séquelles durables (coups sur tout le corps, douleurs à l’épaule nécessitant la pause d’une écharpe), il s’agit à l’évidence de lésions corporelles simples au sens légal.</w:t>
      </w:r>
    </w:p>
    <w:p>
      <w:r>
        <w:rPr>
          <w:b/>
        </w:rPr>
        <w:t>E. 10.3.2</w:t>
      </w:r>
    </w:p>
    <w:p>
      <w:r>
        <w:t>Pour ce qui est du chef de prévention de tentative de lésions corporelles graves (art. 122 let. c CP cum 22 al. 1 CP), le Tribunal correctionnel a, comme déjà relevé, retenu l’existence de « coups violents » assénés par l’auteur. Selon les premiers juges, la violence des coups donnés dans le ventre de la victime aurait pu entraîner des lésions corporelles graves (jugement, p. 32 in fine). En réalité, ce n’est pas la violence des coups dans le ventre mais l’agression, prise dans son ensemble, qui doit être définie comme violente. Quoi qu’il en soit, l’essentiel est que l’infraction de lésions corporelles graves (retenue par le Tribunal correctionnel au degré de réalisation de la tentative) est absorbée par celle de tentative d’interruption de grossesse punissable, cette qualification saisissant l’acte sous tous ses aspects essentiels, comme on le verra au considérant ci-après. Ainsi l’erreur des premiers juges dans l’appréciation des faits, dans la mesure où ils ont retenu à tort que le prévenu avait administré des coups violents au ventre de la plaignante, n’est-elle pas déterminante, faute d’influer sur la qualification des faits à laquelle la Cour de céans procède selon sa propre appréciation.</w:t>
      </w:r>
    </w:p>
    <w:p>
      <w:r>
        <w:rPr>
          <w:b/>
        </w:rPr>
        <w:t>E. 10.3.3</w:t>
      </w:r>
    </w:p>
    <w:p>
      <w:r>
        <w:t>S’agissant du chef de prévention d’interruption de grossesse punissable, la victime a, à dire de médecin, subi une fausse couche indépendamment des coups qui lui ont été assénés volontairement par le prévenu (cf. consid. 5.3 ci-dessus). Le prévenu pouvait comprendre qu’en s’attaquant à sa compagne comme il lui est reproché de l’avoir fait (coups sur tout le corps, ensuite d’une strangulation, chute intentionnelle), son</w:t>
      </w:r>
    </w:p>
    <w:p>
      <w:r>
        <w:t>- 34 - comportement était propre à engendrer les conséquences déjà décrites, même si elles ne se sont pas produites de son fait et indépendamment de savoir s’il les avait souhaitées ou pas (cf. ci-dessous). L'appréciation des preuves viole donc la présomption d’innocence dans la mesure où elle a mené le Tribunal correctionnel a retenir que la fausse couche était la conséquence directe et exclusive des coups assénés par le prévenu. Le moyen est donc fondé. Cela étant, procédant à sa propre appréciation des faits, la Cour constate que l’appelant n’a pas agi dans le dessein d’interrompre la grossesse de l’intimée. Bien plutôt, en toute connaissance de la grossesse de sa victime (cf. consid. 6.2 ci-dessus), il n’a fait que s’accommoder du résultat théoriquement possible des coups qu’il lui a assénés, lesquels étaient, au vu des circonstances, d’une intensité suffisante pour provoquer une fausse couche, ce qu’il savait. L’hypothèse selon laquelle le fruit de la conception aurait déjà été mort lors des faits n’exclut pas la tentative par dol éventuel (Trechsel/Geth, op. cit., ibid.). Pour le reste, les conséquences effectivement subies du fait de l’altercation relèvent de l’infraction (consommée) de lésions corporelles simples (qualifiées), réprimée par ailleurs. Les éléments constitutifs de l’infraction réprimée par l’art. 118 al. 2 CP ne sont ainsi réalisés qu’au stade de la tentative (par dol éventuel). Partant, la tentative d’interruption de grossesse punissable (art. 118 al. 1 CP cum 22 al. 1 CP) absorbe la tentative de lésions corporelles graves (art. 122 let. c CP cum 22 al. 1 CP) retenue par le Tribunal correctionnel, cette infraction-là embrassant celle-ci, sinon dans tous ses éléments constitutifs à tout le moins dans ses éléments essentiels que sont la culpabilité et l'illicéité (cf. consid.10.2.3.3 ci-dessus). Le prévenu sera ainsi libéré du chef de prévention de tentative de lésions corporelles graves. L’appel doit être admis dans cette mesure.</w:t>
      </w:r>
    </w:p>
    <w:p>
      <w:r>
        <w:rPr>
          <w:b/>
        </w:rPr>
        <w:t>E. 10.3.4</w:t>
      </w:r>
    </w:p>
    <w:p>
      <w:r>
        <w:t>Quant au chef de prévention de mise en danger de la vie d’autrui, l’appelant fait grief aux premiers juges d’avoir retenu l’art. 129 CP alors même qu’il n’était pas établi que la vie de la plaignante avait été mise en danger. Ses arguments ont déjà été traités, de sorte qu’il suffit de renvoyer au consid. 7.3 ci-dessus. En droit, la plaignante a évoqué tous les</w:t>
      </w:r>
    </w:p>
    <w:p>
      <w:r>
        <w:t>- 35 - symptômes classiques qui démontrent que la strangulation a été sévère. Or, toute violence (sévère) sur la face antérieure du cou peut entraîner la mort par l’effet d’un arrêt réflexe cardio-inhibiteur (cf. consid. 7.2.3). Sous l’angle subjectif, n’importe qui peut comprendre que serrer le cou de sa victime de manière violente et prolongée est un acte propre à mettre la vie de celle-ci en danger. Peu importe donc que l’auteur connaisse ou pas la problématique de l’arrêt réflexe du cœur mentionnée par la jurisprudence fédérale. Effectuée à satisfaction de droit à cet égard également, l'appréciation des preuves ne viole donc pas davantage la présomption d’innocence.</w:t>
      </w:r>
    </w:p>
    <w:p>
      <w:r>
        <w:rPr>
          <w:b/>
        </w:rPr>
        <w:t>E. 10.3.5</w:t>
      </w:r>
    </w:p>
    <w:p>
      <w:r>
        <w:t>Pour ce qui est, enfin, du chef de prévention de menaces qualifiées, il suffit de renvoyer au considérant 8.3 ci-dessus. Les propos incriminés sont établis à satisfaction de droit, tout comme l’est leur effet sur leur destinataire. Ici encore, l'appréciation des preuves ne viole donc pas la présomption d’innocence.</w:t>
      </w:r>
    </w:p>
    <w:p>
      <w:r>
        <w:rPr>
          <w:b/>
        </w:rPr>
        <w:t>E. 11</w:t>
      </w:r>
    </w:p>
    <w:p>
      <w:r>
        <w:t>Erreur sur les faits</w:t>
      </w:r>
    </w:p>
    <w:p>
      <w:r>
        <w:rPr>
          <w:b/>
        </w:rPr>
        <w:t>E. 11.1</w:t>
      </w:r>
    </w:p>
    <w:p>
      <w:r>
        <w:t>L’appelant se prévaut d’une violation de l’art. 13 CP en lien avec les chefs de prévention d’interruption de grossesse punissable et de tentative de lésions corporelles graves (ch. 2 de l’acte d’accusation). Il soutient avoir agi sur l’influence d’une appréciation erronée des faits en croyant que la plaignante n’était pas enceinte.</w:t>
      </w:r>
    </w:p>
    <w:p>
      <w:r>
        <w:rPr>
          <w:b/>
        </w:rPr>
        <w:t>E. 11.2</w:t>
      </w:r>
    </w:p>
    <w:p>
      <w:r>
        <w:t>En vertu de l'art. 13 al. 1 CP, quiconque agit sous l'influence d'une appréciation erronée des faits est jugé d'après cette appréciation si elle lui est favorable. Agit sous l'emprise d'une erreur sur les faits celui qui n'a pas connaissance ou qui se base sur une appréciation erronée d'un élément constitutif d'une infraction pénale. L'intention de réaliser la disposition pénale en question fait alors défaut. Dans une telle configuration, l'auteur doit être jugé selon son appréciation erronée, si celle-ci lui est favorable. Par opposition, l'erreur sur l'illicéité (art. 21 CP) vise le cas où l'auteur agit en ayant connaissance de tous les éléments constitutifs de l'infraction, et donc avec intention, mais en croyant par</w:t>
      </w:r>
    </w:p>
    <w:p>
      <w:r>
        <w:t>- 36 - erreur agir de façon licite (TF 6B_814/2022 du 11 octobre 2022 consid. 1.3 ; TF 6B_943/2019 du 7 février 2020 consid. 4.1, non publié in ATF 146 IV 126 ; cf. aussi ATF 129 IV 238 consid. 3.1). La délimitation entre erreur sur les faits et erreur de droit ne dépend pas du fait que l'appréciation erronée porte sur une question de droit ou des faits. Il s'agit au contraire de qualifier d'erreur sur les faits, et non d'erreur de droit, non seulement l'erreur sur les éléments descriptifs, mais également l'appréciation erronée des éléments de nature juridique constitutifs de l'infraction (TF 6B_1180/2022 du 15 juin 2023 consid. 2.1 ; TF 6B_814/2022 précité consid. 1.3 ; TF 6B_943/2019 précité consid. 4.1 ; TF 6B_220/2015 du 10 février 2016 consid. 3.4.1). L'auteur ne se trouve pas dans une erreur sur les faits lorsqu'il est conscient, au moment d'agir, d'ignorer des éléments factuels ou juridiques qui lui seraient importants pour apprécier la portée de son propre comportement (ATF 135 IV 12 consid. 2.3.1 p. 16 ; TF 6B_1180/2022 du 15 juin 2023 consid. 2.1).</w:t>
      </w:r>
    </w:p>
    <w:p>
      <w:r>
        <w:rPr>
          <w:b/>
        </w:rPr>
        <w:t>E. 11.3</w:t>
      </w:r>
    </w:p>
    <w:p>
      <w:r>
        <w:t>Il a déjà été mentionné que l’appelant savait d’emblée que sa compagne était enceinte, comme cela a été retenu à satisfaction de droit au vu du message qu’il avait reçu de sa part l’avant-veille des faits mentionnés au chiffre 2 de l’acte d’accusation (cf. consid. 5.3 ci-dessus). Il l’a du reste admis aux débats tant de première instance que d’appel. Cette connaissance suffit à exclure toute erreur sur les faits.</w:t>
      </w:r>
    </w:p>
    <w:p>
      <w:r>
        <w:rPr>
          <w:b/>
        </w:rPr>
        <w:t>E. 12</w:t>
      </w:r>
    </w:p>
    <w:p>
      <w:r>
        <w:t>Quotité de la peine</w:t>
      </w:r>
    </w:p>
    <w:p>
      <w:r>
        <w:rPr>
          <w:b/>
        </w:rPr>
        <w:t>E. 12.1</w:t>
      </w:r>
    </w:p>
    <w:p>
      <w:r>
        <w:t>Invoquant une violation de l’art. 47 CP, l’appelant critique la quotité de la peine, qu’il tient pour excessivement sévère par comparaison avec trois cas antérieurs, dont il se prévaut.</w:t>
      </w:r>
    </w:p>
    <w:p>
      <w:r>
        <w:rPr>
          <w:b/>
        </w:rPr>
        <w:t>E. 12.2.1</w:t>
      </w:r>
    </w:p>
    <w:p>
      <w:r>
        <w:t>Selon l’art. 47 CP, le juge fixe la quotité de la peine d'après la culpabilité de l'auteur. Celle-ci doit être évaluée en fonction de tous les éléments objectifs pertinents qui ont trait à l’acte lui-même, à savoir</w:t>
      </w:r>
    </w:p>
    <w:p>
      <w:r>
        <w:t>- 37 -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 6.1.1 ; TF 6B_1403/2021 du 9 juin 2022 consid. 5.1, non publié à l’ATF 148 I 295).</w:t>
      </w:r>
    </w:p>
    <w:p>
      <w:r>
        <w:rPr>
          <w:b/>
        </w:rPr>
        <w:t>E. 12.2.2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Pour satisfaire à cette règle,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145 IV 1 consid. 1.3 ; ATF 144 IV 313 consid. 1.1.2 ; ATF 127 IV 101 consid. 2b).</w:t>
      </w:r>
    </w:p>
    <w:p>
      <w:r>
        <w:rPr>
          <w:b/>
        </w:rPr>
        <w:t>E. 12.3</w:t>
      </w:r>
    </w:p>
    <w:p>
      <w:r>
        <w:t>L’auteur a agi sans aucun scrupule, n’hésitant pas à s’en prendre à sa compagne alors que cette dernière était enceinte, ce qu’il savait depuis l’avant-veille des faits du 12 octobre 2023. A l’audience d’appel encore, il n’a témoigné d’aucune empathie pour sa victime. Qui plus est, il a agi devant la fille de cette dernière, alors âgée de quatre ans. Il ne s’est pas davantage préoccupé du sort de cet enfant, qui a été traumatisée par les faits du 12 octobre 2023, à telle enseigne qu’elle a eu peur d’entendre des cris et a présenté un retard de langage (jugement, p. 16, 1er par.). La collaboration du prévenu a été mauvaise tout au long de</w:t>
      </w:r>
    </w:p>
    <w:p>
      <w:r>
        <w:t>- 38 - l’enquête. Ses antécédents au Portugal – qui doivent être pris en compte (ATF 105 IV 225 consid. 2 ; TF 6B_869/2016 du 1er juin 2017 consid. 4.3) – sont particulièrement graves. Sans être globalement mauvais, son comportement en détention a été à l’origine de cinq sanctions disciplinaires, ce qui témoigne également de la propension du prévenu au mépris des normes. Il n’y a pas d’élément à décharge. En présence de facteurs de culpabilité aussi accablants, les comparaisons avec d’autres jugements auxquelles s’avance l’appelant sont vaines, étant rappelé le principe d’individualisation de la peine, si besoin est. Procédant à sa propre appréciation des faits, la Cour considère que l’infraction de base, soit celle à réprimer le plus lourdement, est constituée par la tentative d’interruption de grossesse punissable. Elle doit être réprimée par une peine privative de liberté de 20 mois. En application du principe de l’aggravation, cette peine doit être augmentée de 15 mois par l’effet du concours d’infractions pour réprimer la mise en danger de la vie d’autrui, de deux fois six mois pour réprimer les deux épisodes de lésions corporelles simples qualifiées » (cas n° 1 et n° 2 de l’acte d’accusation) et d’un mois pour réprimer les menaces qualifiées. La peine privative de liberté s’élève ainsi à 48 mois. La détention subie avant jugement doit être déduite (art. 51 CP).</w:t>
      </w:r>
    </w:p>
    <w:p>
      <w:r>
        <w:t>- 39 -</w:t>
      </w:r>
    </w:p>
    <w:p>
      <w:r>
        <w:rPr>
          <w:b/>
        </w:rPr>
        <w:t>E. 13</w:t>
      </w:r>
    </w:p>
    <w:p>
      <w:r>
        <w:t>Expulsion</w:t>
      </w:r>
    </w:p>
    <w:p>
      <w:r>
        <w:rPr>
          <w:b/>
        </w:rPr>
        <w:t>E. 13.1</w:t>
      </w:r>
    </w:p>
    <w:p>
      <w:r>
        <w:t>L’appelant conteste l’expulsion prononcée. Il fait valoir qu’il n’a commis aucune infraction tombant sous le coup de l’art. 66a CP.</w:t>
      </w:r>
    </w:p>
    <w:p>
      <w:r>
        <w:rPr>
          <w:b/>
        </w:rPr>
        <w:t>E. 13.2</w:t>
      </w:r>
    </w:p>
    <w:p>
      <w:r>
        <w:t>Cette conclusion est subordonnée à celles portant sur la libération des chefs de prévention d’interruption de grossesse punissable (y compris non consommée), de tentative de lésions corporelles graves et de mise en danger de la vie d’autrui, dont il a été vu qu’elles devaient être rejetées. Il suffit dès lors de constater que la première, respectivement les deux dernières de ces trois infractions réalisent des cas d’expulsion obligatoire au sens de l’art. 66a al. 1 let. a et b CP. On ajoutera que l’expulsion selon l’art. 66a CP se justifie également en cas d’infraction seulement tentée (ATF 144 IV 168). Au surplus, c’est à juste titre que l’appelant n’invoque aucun cas de rigueur au sens de l’art. 66a al. 2 CP. Enfin, la durée de l’expulsion n’est pas contestée séparément.</w:t>
      </w:r>
    </w:p>
    <w:p>
      <w:r>
        <w:rPr>
          <w:b/>
        </w:rPr>
        <w:t>E. 14</w:t>
      </w:r>
    </w:p>
    <w:p>
      <w:r>
        <w:t>Conclusions civiles</w:t>
      </w:r>
    </w:p>
    <w:p>
      <w:r>
        <w:rPr>
          <w:b/>
        </w:rPr>
        <w:t>E. 14.1</w:t>
      </w:r>
    </w:p>
    <w:p>
      <w:r>
        <w:t>Invoquant une violation des art. 41 et 49 CO, l’appelant conteste devoir à la demanderesse toute indemnité pour tort moral liée aux souffrances consécutives à la fausse couche. En revanche, il reconnaît devoir une telle réparation, à hauteur de 2'000 fr., pour les autres conséquences psychiques consécutives à l’altercation du 12 octobre 2023.</w:t>
      </w:r>
    </w:p>
    <w:p>
      <w:r>
        <w:rPr>
          <w:b/>
        </w:rPr>
        <w:t>E. 14.2</w:t>
      </w:r>
    </w:p>
    <w:p>
      <w:r>
        <w:t>Aux termes de l'art. 47 CO, le juge peut, compte tenu des circonstances particulières, allouer à la victime de lésions corporelles ou, en cas de mort d'homme, à la famille, une indemnité équitable à titre de réparation morale. L'indemnité a pour but exclusif de compenser le préjudice que représente une atteinte au bien-être moral (ATF 116 II 733 consid. 4f). Le principe d'une indemnisation pour tort moral et l'ampleur de la réparation dépendent d'une manière décisive de la gravité de l'atteinte et de la possibilité d'adoucir de façon sensible, par le versement d'une</w:t>
      </w:r>
    </w:p>
    <w:p>
      <w:r>
        <w:t>- 40 - somme d'argent, la douleur physique ou morale (ATF 132 II 117 consid. 2.2.2 ; ATF 130 III 699 consid. 5.1, JdT 2006 I 193 ; ATF 129 IV 22 consid. 7.2, JdT 2006 IV 182; ATF 127 IV 215 consid. 2a, JdT 2003 IV 129 ; ATF 125 III 412 consid. 2a, JdT 2006 IV 118 ; ATF 123 III 306 consid. 9b p. 315, JdT 1998 127 ; ATF 118 II 404 consid. 3b/aa, JdT 1993 I 736 ; cf. aussi ATF 141 III 97 consid. 11.2). Les circonstances particulières à prendre en compte se rapportent à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une longue période de souffrance ou d'incapacité de travail, de même que les préjudices psychiques importants (TF 6B_1335/2021 du 21 décembre 2022 consid. 2.2.1 et les réf. citées ; voir aussi ATF 141 III 97 consid. 11.2 ; ATF 132 II 117 consid. 2.2.2, déjà cités).</w:t>
      </w:r>
    </w:p>
    <w:p>
      <w:r>
        <w:rPr>
          <w:b/>
        </w:rPr>
        <w:t>E. 14.3</w:t>
      </w:r>
    </w:p>
    <w:p>
      <w:r>
        <w:t>Même si cela ne ressort pas explicitement du jugement dont est appel, le montant global de 8'000 fr. alloué au titre de réparation morale dédommage aussi bien les souffrances consécutives à l’altercation du 12 octobre 2023 que celles dues à l’altercation du 31 août 2023 ; il ressort implicitement des motifs que ces dernières, à l’évidence moins lourdes, ne sont prises en compte que dans une proportion relativement secondaire. Quant au principe de la réparation civile, il suffit de relever que les actes dommageables sont en rapport de causalité naturelle et adéquate avec les souffrances psychiques de la demanderesse, prouvées à satisfaction de droit. S’agissant de l’altercation du 31 août 2023, peu importe que le comportement en question n’a pas occasionné de fausse couche. En effet, l’objet de la réparation morale n’est pas la perte de l’embryon en elle-même, qui n’est pas en rapport de causalité avec la seconde altercation, mais les souffrances psychiques qui, elles, le sont à l’instar de la première. Il s’ensuit que l’appelant est débiteur d’une réparation à la demanderesse à raison des deux épisodes en cause. Or,</w:t>
      </w:r>
    </w:p>
    <w:p>
      <w:r>
        <w:t>- 41 - pour ce qui est de l’épisode du 12 octobre 2023, la strangulation subie par la demanderesse lui a occasionné des souffrances considérables. En effet, des difficultés respiratoires et un « voile noir » devant les yeux doivent à l’évidence être tenues pour particulièrement anxiogènes, qui plus est en présence des menaces de mort explicites ayant accompagné une strangulation suffisamment violente pour avoir occasionné une douleur à la déglutition et modifié le timbre de voix de la victime. Ces souffrances ont été exacerbées par les coups de poing et de pied assénés à la demanderesse peu après ; en particulier, ses douleurs à l’épaule gauche ont été temporairement handicapantes, puisque qu’elles ont nécessité la pose d’une écharpe. A plus long terme, l’épisode du 12 octobre 2023 a en outre entraîné des conséquences significatives sur la vie sociale et professionnelle de la demanderesse. En effet, elle a notamment exposé, de manière crédible, que, depuis les faits en cause, elle avait présenté des troubles du sommeil, ayant de la peine à dormir sans médicaments, même si elle a précisé à l’audience d’appel qu’elle ne prenait plus de médication ; elle a ajouté qu’elle faisait régulièrement des cauchemars, qu’elle avait perdu son emploi à deux reprises et que sa confiance en elle l’avait abandonnée (cf. not. jugement, p. 16-17). Elle a produit divers certificats médicaux, dont il ressort qu’elle bénéficie d’un suivi thérapeutique, toujours dispensé actuellement, soit plus d’un an et demi après les derniers faits dommageables. Son affliction est ainsi importante et durable. L’appelant passe sous silence l’épisode du 31 août 2023, qui est également significatif, bien que moins grave que le suivant. Quoi qu’il en soit, leurs effets se cumulent. Dans les circonstances décrites ci- dessus, le tort moral consécutif à l’épisode du 12 octobre 2023, additionné à celui consécutif à l’épisode du 31 août 2023, justifie le montant de la réparation morale allouée, par 8'000 fr., valeur échue. Cette conclusion doit donc être rejetée.</w:t>
      </w:r>
    </w:p>
    <w:p>
      <w:r>
        <w:rPr>
          <w:b/>
        </w:rPr>
        <w:t>E. 15</w:t>
      </w:r>
    </w:p>
    <w:p>
      <w:r>
        <w:t>Le prévenu succombant à l’action pénale nonobstant l’admission très partielle de son appel, il n’y a pas lieu de modifier le sort des frais de première instance (art. 426 al. 1, 1re phrase, CPP).</w:t>
      </w:r>
    </w:p>
    <w:p>
      <w:r>
        <w:t>- 42 -</w:t>
      </w:r>
    </w:p>
    <w:p>
      <w:r>
        <w:rPr>
          <w:b/>
        </w:rPr>
        <w:t>E. 16</w:t>
      </w:r>
    </w:p>
    <w:p>
      <w:r>
        <w:t>Vu l’issue de l’appel, les frais d’appel seront mis à la charge de l’appelant à raison des cinq sixièmes, compte tenu de la mesure dans laquelle cette partie obtient gain de cause, respectivement succombe (art. 428 al. 1, 1re phrase, CPP). Outre l’émolument (art. 21 al. 1 et 2 TFIP [tarif des frais de procédure et indemnités en matière pénale du 28 septembre 2010 ; RSV 312.03.1]), par 4'220 fr., les frais d’appel comprennent l’indemnité allouée au défenseur d’office de l’appelant et celle allouée au conseil juridique de l’intimée (art. 422 al. 2 let. a CPP). L’indemnité allouée au défenseur d’office de l’appelant doit être arrêtée sur la base de la liste d’opérations produite à l’audience d’appel, à savoir en tenant compte d’une durée d’activité d’une heure d’avocat breveté, ainsi que de 19 heures et 45 minutes d’avocat stagiaire, y compris pour la durée de l’audience d’appel, par deux heures et 30 minutes. Au tarif de 180 fr. de l’heure, respectivement de 110 fr. de l’heure, le total des opérations retenues correspond ainsi à des honoraires nets de 2'352 fr. 50. A ces honoraires, il convient d’ajouter des débours forfaitaires à concurrence de 2 % (art. 3bis al. 1 RAJ [règlement du 7 décembre 2010 sur l'assistance judiciaire en matière civile ; BLV 211.02.3], applicable par renvoi de l’art. 26b TFIP). Aux honoraires bruts doit être ajoutée une vacation forfaitaire de 80 fr., pour l’audience d’appel, ainsi que la TVA. L’indemnité s’élève donc à 2'680 fr. 40, débours et TVA compris. L’indemnité allouée au conseil juridique de l’intimée doit être arrêtée sur la base de la liste d’opérations produite à l’audience d’appel, à cette réserve près que la durée d’activité pour l’opération « préparation plaidoirie et audience », fixée à huit heures, est excessive au regard de l’ampleur et de la complexité de la cause, de surcroît réputée connue pour avoir été plaidée en première instance déjà ; ce poste doit dès lors être</w:t>
      </w:r>
    </w:p>
    <w:p>
      <w:r>
        <w:t>- 43 - ramené à cinq heures. En outre, la durée présumable de l’audience d’appel, estimée à quatre heures, s’est avérée excessive. L’indemnité doit ainsi être arrêtée sur la base d’une durée d’activité de douze heures et trois minutes d’avocat breveté, y compris la durée de l’audience d’appel. Au tarif de 180 fr. de l’heure, le total des opérations retenues correspond ainsi à des honoraires nets de 2'169 francs. A ces honoraires, il convient d’ajouter des débours forfaitaires à concurrence de 2 % (et non de 8,1 % comme demandé). Aux honoraires bruts doit être ajoutée une vacation forfaitaire de 120 fr., pour l’audience d’appel, ainsi que la TVA. L’indemnité s’élève donc à 2'521 fr. 30, débours et TVA compris. L’appelant est tenu de rembourser les cinq sixièmes des indemnités ci-dessus dès que sa situation financière le permettra (art. 135 al. 4 CPP).</w:t>
      </w:r>
    </w:p>
    <w:p>
      <w:r>
        <w:t>- 44 -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