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PE23.019703 vom 11. September 2024</w:t>
      </w:r>
    </w:p>
    <w:p>
      <w:r>
        <w:t>VD Tribunal cantonal, 2024-09-11, FR</w:t>
      </w:r>
    </w:p>
    <w:p>
      <w:r>
        <w:rPr>
          <w:b/>
        </w:rPr>
        <w:t xml:space="preserve">Quelle: </w:t>
      </w:r>
      <w:r>
        <w:t>https://mcp.opencaselaw.ch/entscheid/vd_gerichte_PE23.019703</w:t>
      </w:r>
    </w:p>
    <w:p>
      <w:r>
        <w:t>FR: VD_GERICHTE PE23.019703 du 11 septembre 2024</w:t>
      </w:r>
    </w:p>
    <w:p>
      <w:r>
        <w:t>IT: VD_GERICHTE PE23.019703 del 11 settembre 2024</w:t>
      </w:r>
    </w:p>
    <w:p>
      <w:pPr>
        <w:pStyle w:val="Heading2"/>
      </w:pPr>
      <w:r>
        <w:t>Erwägungen</w:t>
      </w:r>
    </w:p>
    <w:p>
      <w:r>
        <w:rPr>
          <w:b/>
        </w:rPr>
        <w:t>E. 1</w:t>
      </w:r>
    </w:p>
    <w:p>
      <w:r>
        <w:t>CPP), de sorte qu’il est recevable.</w:t>
      </w:r>
    </w:p>
    <w:p>
      <w:r>
        <w:t>- 6 -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2.1</w:t>
      </w:r>
    </w:p>
    <w:p>
      <w:r>
        <w:t>Le recourant fait valoir, en bref, qu’en n’ouvrant pas formellement d’instruction, le Ministère public lui a refusé la possibilité d’exercer son droit d’être entendu, notamment celle de participer à la procédure en présentant des réquisitions de preuve.</w:t>
      </w:r>
    </w:p>
    <w:p>
      <w:r>
        <w:rPr>
          <w:b/>
        </w:rPr>
        <w:t>E. 2.2</w:t>
      </w:r>
    </w:p>
    <w:p>
      <w:r>
        <w:t>Aux termes de l’art. 309 al. 1 CPP, le Ministère public ouvre une instruction formelle lorsqu’il ressort notamment du rapport de police des soupçons suffisants laissant présumer qu’une infraction a été commise (let. a), lorsqu’il ordonne des mesures de contrainte (let. b) ou lorsqu’il est informé par la police conformément à l’art. 307 al. 1 CPP (let. c). L’instruction pénale est considérée comme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références citées). Celles-ci sont effectuées du propre chef de la police et non sur délégation, ce dernier cas étant régi par l’art. 312 al. 1 CPP et supposant l’ouverture préalable d’une instruction par le ministère public (Moreillon/Parein-Reymond, Petit Commentaire, Code de procédure pénale, 2e éd., Bâle 2016, n. 2 ad art. 306 CPP et la réf. cit.) L’intervention de la police dans le cadre fixé par l’art. 306 CPP est indépendante et ne nécessite pas l’autorisation, à ce stade, du Ministère public ; ceci dans un but de rapidité et d’efficacité de la poursuite pénale (Moreillon/Parein-Reymond, op. cit., n. 4 ad art. 306 CPP et la réf. cit.). Avant l'ouverture d'une instruction, le droit de participer à l'administration des preuves ne s'applique en principe pas (art. 147 al. 1 CPP a contrario ; cf. ATF 143 IV 397 consid. 3.3.2 in fine ; ATF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w:t>
      </w:r>
    </w:p>
    <w:p>
      <w:r>
        <w:t>- 7 -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7B_57/2022 du 27 mars 2024 consid. 7.4.2 ; TF 7B_2/2022 24 octobre 2023 consid. 2.1.1 ; TF 6B_382/2022 du 12 septembre 2022 consid. 2.1.2 ; TF 6B_89/2022 du 2 juin 2022 consid. 2.2).</w:t>
      </w:r>
    </w:p>
    <w:p>
      <w:r>
        <w:rPr>
          <w:b/>
        </w:rPr>
        <w:t>E. 2.3</w:t>
      </w:r>
    </w:p>
    <w:p>
      <w:r>
        <w:t>En l’espèce, le recourant a, le 11 octobre 2023, déposé une plainte pénale, accompagnée de pièces. Il a complété sa plainte le 6 février 2024 et produit de nouvelles pièces. Il a ensuite longuement (de 8h15 à 12h20, soit durant plus de quatre heures, le 15 mai 2024) été entendu par la police qui lui a posé de nombreuses questions au sujet des circonstances qui l’avaient conduit à verser de l’argent à [...]. De plus, dans son recours, Q.________ ne fait pas valoir de faits nouveaux qu’il n’avait déjà exposés, ni n'énonce des mesures d’instruction qui devraient être mises en œuvre. Ainsi, il a pu exposer en détail, à plusieurs reprises, les faits qui, selon lui, sont constitutifs d’infractions perpétrées à son préjudice. Dans ces circonstances, on ne discerne aucune violation du droit d’être entendu du recourant.</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t>- 8 - 2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4.1</w:t>
      </w:r>
    </w:p>
    <w:p>
      <w:r>
        <w:t>Contestant la non-entrée en matière prononcée, le recourant fait valoir que des soupçons suffisants de commission des infractions d’escroquerie et d’abus de confiance sont réunis en relation avec les actes dénoncés relatifs à l’obtention et à l’usage des fonds versés, ce qui justifie l’ouverture d’une instruction. Il rappelle notamment que [...] lui a menti à de nombreuses reprises, qu’elle l’a trompé quant à sa capacité à rembourser, qu’il lui a versé de l’argent afin qu’elle créée une société ou pour qu’elle paie son serveur, qu’il lui a sous-loué un appartement contre la promesse d’un versement mensuel, qu’elle lui a envoyé des photographies de billets de banque en prétendant qu’ils lui étaient destinés, qu’il a eu neuf fois rendez-vous à la banque avec elle notamment et qu’elle l’a manipulé pendant des mois au moyen de mensonges et de stratagèmes, en multipliant les messages, les appels et les rendez-vous,</w:t>
      </w:r>
    </w:p>
    <w:p>
      <w:r>
        <w:t>- 9 - qu’elle a prétendu être malade et qu’elle a utilisé des locaux ou un appartement qui n’étaient pas à son nom.</w:t>
      </w:r>
    </w:p>
    <w:p>
      <w:r>
        <w:rPr>
          <w:b/>
        </w:rPr>
        <w:t>E. 4.2.1</w:t>
      </w:r>
    </w:p>
    <w:p>
      <w:r>
        <w:t>Commet un abus de confiance au sens de l'art. 138 ch. 1 CP quiconque, pour se procurer ou procurer à un tiers un enrichissement illégitime, s’approprie une chose mobilière appartenant à autrui et qui lui a été confiée (al. 1) ou quiconque, sans droit, emploie à son profit ou au profit d'un tiers, des valeurs patrimoniales qui lui ont été confiées (al. 2). Sur le plan objectif, cette infraction suppose qu'une chose mobilière ou 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chose mobilière ou la valeur patrimoniale contrairement aux instructions reçues, en s'écartant de la destination fixée (ATF 129 IV 257 consid. 2.2.1 et les réf.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consid. 2.2.1 ; ATF 121 IV 23 consid. 1c ; TF 6B_1017/2022, 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w:t>
      </w:r>
    </w:p>
    <w:p>
      <w:r>
        <w:t>- 10 -</w:t>
      </w:r>
    </w:p>
    <w:p>
      <w:r>
        <w:rPr>
          <w:b/>
        </w:rPr>
        <w:t>E. 4.2.2</w:t>
      </w:r>
    </w:p>
    <w:p>
      <w:r>
        <w:t>Aux termes de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w:t>
      </w:r>
    </w:p>
    <w:p>
      <w:r>
        <w:t>- 11 -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2e éd., Bâle 2017, n. 17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4.3.1</w:t>
      </w:r>
    </w:p>
    <w:p>
      <w:r>
        <w:t>Dans le cas particulier, on ne peut que constater que le plaignant n’entretenait pas une relation de longue date avec [...]. Aucun lien amoureux ou de longue amitié ne les unissait, même si le recourant affirme qu’un rapport de confiance existait entre eux et qu’ils étaient devenus amis. Le recourant ne soutient pas non plus avoir été menacé pour être acculé à lui prêter de l’argent, même si sa partenaire d’affaires a</w:t>
      </w:r>
    </w:p>
    <w:p>
      <w:r>
        <w:t>- 12 - été très insistante pour en obtenir. Le recourant n’allègue pas non plus qu’entre octobre 2022 et août 2023, il était particulièrement vulnérable, étant précisé qu’il a 40 ans et qu’il est informaticien. Or, pendant la période susmentionnée, il a versé à [...] des sommes très importantes, soit 350'000 fr. en quelque 56 transactions. S’agissant de l’infraction d’abus de confiance, la question déterminante est celle de la destination des montants que le recourant a remis. A cet égard, on ne peut que constater que, certes, [...] lui a indiqué pourquoi elle avait, selon elle, besoin de ces deniers et à quoi elle les destinait. Elle a ainsi notamment prétendu qu’il s’agissait de financer des travaux dans un troisième restaurant qu’elle se proposait d’exploiter, de solder des poursuites et ainsi de débloquer ses comptes, de créer une société pour l’activité de massage envisagée par le plaignant ou de permettre à l’emprunteuse de prêter de l’argent à des compatriotes thaïlandais. Selon le plaignant, aucun montant versé par lui n’a servi à ces dépenses. Toutefois, ces affectations multiples sont floues et les reconnaissances de dette au dossier n’indiquent pas les motifs des versements. On ne peut ainsi pas discerner ni quelle somme d’argent en particulier devait être spécifiquement affectée à un usage déterminé, ni également qu’elle correspondait au montant nécessaire à la destination évoquée. Dans ces circonstances, et même si [...] a avancé de nombreuses explications successives au recourant quant à la destination des fonds, on ne saurait retenir que l’utilisation de ces montants était clairement définie et que [...] en a fait un usage illicite. Il n’y a ainsi pas de valeurs patrimoniales confiées au sens de l’art. 138 CP. L’un au moins des éléments constitutifs objectifs de l’infraction d’abus de confiance n’est donc pas réalisé.</w:t>
      </w:r>
    </w:p>
    <w:p>
      <w:r>
        <w:rPr>
          <w:b/>
        </w:rPr>
        <w:t>E. 4.3.2</w:t>
      </w:r>
    </w:p>
    <w:p>
      <w:r>
        <w:t>S’agissant de l’infraction d’escroquerie, on peut certes retenir que le recourant a été trompé par l’emprunteuse. Toutefois, cette tromperie doit encore être astucieuse selon le texte légal. Or, comme déjà indiqué, le recourant n’était pas dans une situation de faiblesse particulière. En effet, il dispose de toutes ses capacités cognitives et relève lui-même qu’il aurait pu ne pas verser ces sommes. Certes, il n’est</w:t>
      </w:r>
    </w:p>
    <w:p>
      <w:r>
        <w:t>- 13 - pas expérimenté en affaires et [...] l’a sollicité à de nombreuses reprises, qui plus est de manière insistante. Toutefois, on ne peut que partager l’appréciation du Ministère public quant à la légèreté dont a fait preuve le plaignant. Dès lors, il convient de renvoyer aux motifs de l’ordonnance entreprise qui sont convaincants. En outre, le recourant savait que sa partenaire d’affaires tenait des restaurants et avait des difficultés financières, de sorte que rien ne lui permettait de croire qu’elle était, pour sa part, particulièrement expérimentée en affaires ; plus encore, sa connaissance des difficultés financières de [...] ne l’a pas dissuadé de lui verser des sommes importantes de manière récurrente ; on ne discerne aucune astuce dans les explications qu’elle lui a données relatives aux premières sommes versées ; enfin, il a continué à lui prêter de l’argent alors même qu’elle utilisait diverses stratégies pour le faire patienter et qu’il voulait qu’elle le rembourse. C’est en effet à pas moins d’environ 56 reprises qu’il lui a versé de l’argent, simplement parce qu’il lui faisait confiance, alors même qu’elle ne lui a jamais remboursé une quelconque somme sur le capital ou versé le moindre intérêt. Dans ces circonstances, on ne peut que retenir, d’une part, que la co-responsabilité de la victime commande de nier le caractère astucieux de la tromperie (cf. not. ATF 142 IV 153, déjà cité) et, d’autre part, que le recourant aurait pu se protéger en prenant des mesures de prudence élémentaires. L’un au moins des éléments constitutifs objectifs de l’infraction d’escroquerie n’est ainsi pas réalisé.</w:t>
      </w:r>
    </w:p>
    <w:p>
      <w:r>
        <w:rPr>
          <w:b/>
        </w:rPr>
        <w:t>E. 4.3.3</w:t>
      </w:r>
    </w:p>
    <w:p>
      <w:r>
        <w:t>Le recourant ne développe aucun moyen en lien avec l’infraction de menaces (art. 180 CP), dont il se prétend également victime mais qui a été exclue par le Ministère public à l’instar des deux autres. Partant, il n’y a pas lieu d’examiner cette question.</w:t>
      </w:r>
    </w:p>
    <w:p>
      <w:r>
        <w:rPr>
          <w:b/>
        </w:rPr>
        <w:t>E. 4.3.4</w:t>
      </w:r>
    </w:p>
    <w:p>
      <w:r>
        <w:t>Il s’ensuit que l’ordonnance de non-entrée en matière est bien fondée (art. 310 al. 1 let. a CPP). De manière générale, il appartiendra au recourant d’intenter une action devant les tribunaux civils s’il entend obtenir la restitution des montants versés.</w:t>
      </w:r>
    </w:p>
    <w:p>
      <w:r>
        <w:t>- 14 -</w:t>
      </w:r>
    </w:p>
    <w:p>
      <w:r>
        <w:rPr>
          <w:b/>
        </w:rPr>
        <w:t>E. 5</w:t>
      </w:r>
    </w:p>
    <w:p>
      <w:r>
        <w:t>Le recourant conclut à ce que des dépens lui soient octroyés à raison de l’ensemble de la procédure. Il n’y a pas lieu de lui en allouer, dès lors qu’il n’est pas représenté par un avocat et qu’au surplus, il n’obtient pas gain de cause.</w:t>
      </w:r>
    </w:p>
    <w:p>
      <w:r>
        <w:rPr>
          <w:b/>
        </w:rPr>
        <w:t>E. 6</w:t>
      </w:r>
    </w:p>
    <w:p>
      <w:r>
        <w:t>Il résulte de ce qui précède que le recours, manifestement mal fondé, doit être rejeté, sans échange d'écritures (art. 390 al. 2 CPP), et l'ordonnance attaquée confirmée.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Le montant de 770 fr. déjà versé par celui-ci à titre de sûretés (art. 383 al. 1 CPP) sera imputé sur les frais mis à sa charge (art. 7 TFIP). Par ces motifs, la Chambre des recours pénale prononce : I. Le recours est rejeté. II. L’ordonnance du 20 juin 2024 est confirmée. III. Les frais d’arrêt, par 1’430 fr. (mille quatre cent trente francs), sont mis à la charge de Q.________. IV. Le montant de 770 fr. (sept cent septante francs) déjà versé par le recourant à titre de sûretés est imputé sur les frais mis à sa charge au chiffre III ci-dessus, le solde dû à l’Etat par Q.________ s’élevant à 660 fr. (six cent soixante francs). V. L’arrêt est exécutoire. Le président : Le greffier :</w:t>
      </w:r>
    </w:p>
    <w:p>
      <w:r>
        <w:t>- 15 - Du Le présent arrêt, dont la rédaction a été approuvée à huis clos, est notifié, par l'envoi d'une copie complète, à : - M. Q.________, - Ministère public central, et communiqué à : - Mme la Procureure de l’arrondissement de Lausanne,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