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PE23.019401 vom 2. August 2024</w:t>
      </w:r>
    </w:p>
    <w:p>
      <w:r>
        <w:t>VD Tribunal cantonal, 2024-08-02, FR</w:t>
      </w:r>
    </w:p>
    <w:p>
      <w:r>
        <w:rPr>
          <w:b/>
        </w:rPr>
        <w:t xml:space="preserve">Quelle: </w:t>
      </w:r>
      <w:r>
        <w:t>https://mcp.opencaselaw.ch/entscheid/vd_gerichte_PE23.019401</w:t>
      </w:r>
    </w:p>
    <w:p>
      <w:r>
        <w:t>FR: VD_GERICHTE PE23.019401 du 2 août 2024</w:t>
      </w:r>
    </w:p>
    <w:p>
      <w:r>
        <w:t>IT: VD_GERICHTE PE23.019401 del 2 agosto 2024</w:t>
      </w:r>
    </w:p>
    <w:p>
      <w:pPr>
        <w:pStyle w:val="Heading2"/>
      </w:pPr>
      <w:r>
        <w:t>Erwägungen</w:t>
      </w:r>
    </w:p>
    <w:p>
      <w:r>
        <w:rPr>
          <w:b/>
        </w:rPr>
        <w:t>E. 6</w:t>
      </w:r>
    </w:p>
    <w:p>
      <w:r>
        <w:t>CPP).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(TF 6B_524/2023 du 18 août 2023 consid. 3.1).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références citées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 TF 7B_5/2022 précité ;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w:t>
      </w:r>
    </w:p>
    <w:p>
      <w:r>
        <w:t>- 15 - d'autres moyens de preuves (TF 7B_5/2022 précité et les références citées). 2.3 L'art. 191 CP réprime le comportement de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(TF 6B_866/2022 du 5 juin 2023 consid. 4.1.2 ; TF 6B_1174/2021 du 21 juin 2022 consid. 2.1 ; ATF 148 I 295 consid. 4.1). L'art.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(TF 6B_866/2022 précité ; ATF 148 I 295 précité consid. 4.2 ; TF 6B_408/2021 du 11 avril 2022 consid. 3.1 ; cf. ATF 133 IV 49 consid. 7.2 ss). Même passagère, l'incapacité de discernement ou de résistance doit être totale. S'il subsiste une résistance partielle qui est surmontée par l'auteur, il sera question d'une infraction au sens de l'art. 189 ou 190 CP (ATF 148 IV 329 consid. 3.2 ; ATF 133 IV 49 consid. 4 et 7.2 ; TF 6B_866/2022 précité). En outre, une telle incapacité doit être préexistante au comportement de l'auteur.</w:t>
      </w:r>
    </w:p>
    <w:p>
      <w:r>
        <w:t>- 16 - Ainsi, l'infraction n'est pas réalisée lorsqu'une personne ne peut pas réagir, à temps, en raison du seul effet de surprise de l'acte (ATF 148 IV 329 précité consid. 5.2 ; TF 6B_866/2022 précité ; ATF 148 I 295 précité). L'art. 191 CP exige que l'auteur ait profité de l'incapacité de discernement ou de résistance de la victime, autrement dit qu'il ait exploité l'état ou la situation dans laquelle elle se trouvait (ATF 148 IV 329 précité consid. 3.2 ; TF 6B_866/2022 précité ; ATF 148 I 295 précité consid. 4.2).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6B_866/2022 précité ; TF 6B_164/2022 du 5 décembre 2022 consid. 2.1 ; TF 6B_1174/2021 précité). Par acte d'ordre sexuel, il faut entendre une activité corporelle sur soi-même ou sur autrui qui tend à l'excitation ou à la jouissance sexuelle de l'un des participants au moins (TF 6B_859/2022 du 6 mars 2023 consid. 1.3 ; TF 6B_866/2022 précité ; TF 6B_251/2021 du 12 novembre 2021 consid. 1.3.1).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6B_859/2022 précité ; TF 6B_935/2020 du 25 février 2021 consid. 3).</w:t>
      </w:r>
    </w:p>
    <w:p>
      <w:r>
        <w:t>- 17 - 2.4 En l’espèce, la recourante se dit convaincue d’avoir subi des abus sexuels de la part de X.________ dans la nuit du 2 au 3 août 2023 alors qu’elle était inconsciente. Contrairement à ce qu’affirme B.________, l’ordonnance entreprise ne tend pas à la faire passer pour une femme droguée ou dépravée, dès lors qu’elle se limite à exposer que son absence de souvenir pourrait s’expliquer par un mélange de médicaments, d’alcool ou encore de stupéfiants. Or, il y a lieu de constater que l’intéressée n’a plus de souvenirs des faits, en particulier – selon ses propres déclarations – depuis l’entrée des protagonistes au restaurant, sans que l’on puisse déterminer la cause de cette absence de souvenirs. Il convient néanmoins de constater que B.________ prend des anxiolytiques et qu’elle avait bu de l’alcool, les versions des faits divergeant sur la quantité d’alcool consommée. Les parties ont également une version différente s’agissant de l’éventuelle consommation de produits cannabiques de la recourante. En outre, il n’est pas possible de considérer que celle-ci aurait été droguée à son insu avant son arrivée au restaurant, ni après d’ailleurs. On ne discerne aucun moment où X.________, ou quiconque, aurait pu lui administrer à son insu du GHB ou toute autre substance. On ne voit au demeurant pas quel moyen de preuve pourrait être mis en œuvre pour établir les causes de cette absence de souvenirs. Le restaurant [...] ne dispose plus des images de vidéosurveillance de la soirée du 2 août 2023, de sorte que l’on ne peut pas vérifier si, comme l’indique le prévenu, B.________ parlait différemment ou avait des mouvements bizarres, ou si quelqu’un l’aurait par hypothèse droguée. La recourante est persuadée d’avoir été abusée sexuellement. Elle n’a cependant constaté aucune marque sur son corps ou trace d’écoulement. Elle n’a pas de souvenir, mais est convaincue, notamment en raison de ses réactions physiques à l’évocation du prévenu, que celui-ci aurait touché ses parties intimes sans son consentement et qu’il l’aurait pénétrée digitalement. Or, le prévenu a contesté ces faits et aucun enregistrement ne contient d’aveu de celui-ci, B.________ ayant d’ailleurs elle-même indiqué que c’était lors de la conversation téléphonique qu’elle</w:t>
      </w:r>
    </w:p>
    <w:p>
      <w:r>
        <w:t>- 18 - n’a pas enregistrée que X.________ aurait admis l’avoir pénétrée digitalement. En outre, aucune opération d’enquête ne paraît à même de permettre d’aller plus avant dans l’instruction et/ou d’établir qu’un abus sexuel aurait été commis par le prévenu sur B.________. Les enregistrements produits établissent que la recourante est convaincue de ce qu’elle affirme et que X.________ nie de manière tout aussi constante avoir eu une attitude répréhensible envers elle. Les déclarations du prévenu sur son comportement lors de la nuit du 2 au 3 août 2023, son comportement avant ou après celle-ci, les messages échangés avec la plaignante et les enregistrements susmentionnés ne constituent pas des indices suffisants permettant de retenir qu’il aurait pu commettre des abus sexuels en lien avec les faits dénoncés. Finalement, et contrairement à l’ordonnance querellée, on ne saurait retenir que les allégations de la recourante sont fondées sur une auto-persuasion de celle-ci, dans la mesure où les éléments figurant au dossier ne permettent pas une affirmation aussi catégorique. Il convient toutefois de constater que, face à l’absence de souvenirs de B.________, aux dénégations du prévenu et à l’absence de toute preuve matérielle directe ou indirecte (témoignages, images de vidéosurveillance, constats médicaux, etc.), une condamnation de X.________ pour actes d’ordre sexuel commis sur une personne incapable de discernement ou de résistance paraît exclue. Dans ces circonstances, il y a lieu de renoncer à un renvoi au tribunal. 3. En définitive, le recours, manifestement mal fondé, doit être rejeté sans échange d’écritures (art. 390 al. 2 CPP) et l’ordonnance attaquée confirmée. Les frais de la procédure de recours, constitués du seul émolument d’arrêt par 1’870 fr. (art. 20 al. 1 TFIP [Tarif des frais de procédure et indemnités en matière pénale du 28 septembre 2010 ; BLV</w:t>
      </w:r>
    </w:p>
    <w:p>
      <w:r>
        <w:t>- 19 - 312.03.1]), seront mis à la charge de la recourante, qui succombe (art. 428 al. 1 CPP). Par ces motifs, la Chambre des recours pénale prononce : I. Le recours est rejeté. II. L’ordonnance du 13 mai 2024 est confirmée. III. Les frais d'arrêt, par 1’870 fr. (mille huit cent septante francs), sont mis à la charge de B.________. IV. L’arrêt est exécutoire. Le président : Le greffier : Du Le présent arrêt, dont la rédaction a été approuvée à huis clos, est notifié, par l'envoi d'une copie complète, à : - B.________, - X.________ - Ministère public central ; et communiqué à : ‑ M. le Procureur d’arrondissement de Lausanne,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