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PE23.019246 vom 6. Februar 2024</w:t>
      </w:r>
    </w:p>
    <w:p>
      <w:r>
        <w:t>VD Tribunal cantonal, 2024-02-06, FR</w:t>
      </w:r>
    </w:p>
    <w:p>
      <w:r>
        <w:rPr>
          <w:b/>
        </w:rPr>
        <w:t xml:space="preserve">Quelle: </w:t>
      </w:r>
      <w:r>
        <w:t>https://mcp.opencaselaw.ch/entscheid/vd_gerichte_PE23.019246</w:t>
      </w:r>
    </w:p>
    <w:p>
      <w:r>
        <w:t>FR: VD_GERICHTE PE23.019246 du 6 février 2024</w:t>
      </w:r>
    </w:p>
    <w:p>
      <w:r>
        <w:t>IT: VD_GERICHTE PE23.019246 del 6 febbraio 2024</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w:t>
      </w:r>
    </w:p>
    <w:p>
      <w:r>
        <w:t>- 4 -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w:t>
      </w:r>
    </w:p>
    <w:p>
      <w:r>
        <w:t>- 5 -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w:t>
      </w:r>
    </w:p>
    <w:p>
      <w:r>
        <w:rPr>
          <w:b/>
        </w:rPr>
        <w:t>E. 1.3</w:t>
      </w:r>
    </w:p>
    <w:p>
      <w:r>
        <w:t>En l’espèce, interjeté dans le délai légal auprès de l’autorité compétente, par la partie plaignante qui a qualité pour recourir (art. 382 al. 1 CPP), le recours est recevable dans cette mesure. Toutefois, dans une grande partie de son mémoire de recours intitulée « rappel du contexte », la recourante se contente de réitérer sa version des faits telle qu’elle ressort de sa plainte pénale en faisant abstraction de la motivation faite par le Ministère public dans son ordonnance de non-entrée en matière. Cette argumentation ne critique pas les motifs tels que retenus dans l’ordonnance attaquée à suffisance puisqu’elle se borne à répéter la position de la recourante sur le plan factuel, sans toutefois exposer pour quel motif – en fait ou en droit – il y aurait lieu de rendre une décision différente. A cet égard, l’acte de recours ne satisfait manifestement pas aux exigences de motivation déduites de l’art. 385 al. 1 CPP, de sorte qu’il est irrecevable. En revanche, les arguments développés par la recourante sous chiffres III et IV de son écriture sont recevables.</w:t>
      </w:r>
    </w:p>
    <w:p>
      <w:r>
        <w:rPr>
          <w:b/>
        </w:rPr>
        <w:t>E. 2</w:t>
      </w:r>
    </w:p>
    <w:p>
      <w:r>
        <w:t>La recourante reproche au Ministère public de ne pas avoir pris en compte sa version des faits et produit plusieurs photos et vidéos à l’appui de son recours. Elle soutient en substance qu’une instruction aurait dû être ouverte et que des mesures d’instruction qu’elle sollicite auraient permis d’accréditer sa plainte.</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- 6 - Cette disposition doit être appliquée conformément à l'adage in dubio pro duriore. Celui-ci découle du principe de la légalité (art. 5 al. 1 Cst. et art. 2 al. 2 CPP en relation avec les art. 319 al. 1 et 324 al. 1 CPP; ATF 138 IV 86 consid. 4.)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 TF 7B_27/2023 du 12 septembre 2023 consid. 3.2 ; TF 6B_933/2021 du 21 février 2022 consid. 2.1).</w:t>
      </w:r>
    </w:p>
    <w:p>
      <w:r>
        <w:rPr>
          <w:b/>
        </w:rPr>
        <w:t>E. 2.2</w:t>
      </w:r>
    </w:p>
    <w:p>
      <w:r>
        <w:t>En l’espèce, dans la deuxième partie de son recours intitulée « ce que le Ministère public a retenu », la recourante reproche à la procureure de s’être basée essentiellement sur la version de Y.________ pour refuser d’entrer en matière sur sa plainte et produit des pièces dans le but d’attester sa propre version des faits. Cela étant, il convient de relever que ces pièces n’apportent aucun élément tangible qui serait de nature à remettre en cause l’appréciation du Ministère public. Force est de constater qu’aucun acte d’enquête n’est susceptible de départager les versions diamétralement opposées des parties. Premièrement, on ne voit pas dans quelle mesure la vidéo du témoignage de sa fille âgée de 7 ans permettrait d’apporter des éléments suffisants pour accréditer la version de la recourante sur le déroulement des faits. Il y a en effet lieu de douter, au vu de son âge, que cet enfant soit en mesure de livrer un témoignage crédible sur des faits s’étant déroulés le 22 août 2023, soit plusieurs mois auparavant, ce d’autant plus que depuis l’évènement en question, elle a</w:t>
      </w:r>
    </w:p>
    <w:p>
      <w:r>
        <w:t>- 7 - été réinterrogée, puis enregistrée par sa mère. Deuxièmement, s’agissant des vidéos illustrant la quantité d’eau déversée sur la terrasse de la recourante, on ne voit pas en quoi celles-ci seraient susceptibles de prouver les éléments constitutifs des infractions de menaces et de séquestration dont elle estime être victime. Ces vidéos s’inscrivent en effet dans le cadre d’un litige de voisinage de nature purement civil, si bien qu’en rapport avec les infractions dénoncées sur le plan pénal, ces preuves ne lui sont d’aucun recours. Une appréciation similaire peut être faite s’agissant des photographies tendant à démontrer la manière dont Y.________ persisterait à arroser ses plantes malgré les avertissements de la gérance de l’immeuble. Troisièmement, il n’est pas pertinent de requérir le témoignage de la gardienne de la fille de la recourante dans la mesure où cette personne n’a pas assisté personnellement aux événements du 22 août 2023. Compte tenu de ce qui précède, c’est à juste titre que le Ministère public a refusé d’entrer en matière sur la plainte pénale déposée par la recourante pour menaces et séquestration.</w:t>
      </w:r>
    </w:p>
    <w:p>
      <w:r>
        <w:rPr>
          <w:b/>
        </w:rPr>
        <w:t>E. 3</w:t>
      </w:r>
    </w:p>
    <w:p>
      <w:r>
        <w:t>Il résulte de ce qui précède que le recours, manifestement mal fondé, doit être rejeté sans échange d’écriture (art. 390 al. 2 CPP) et l’ordonnance du 13 octobre 2023 confirmée. La cause étant dénuée de chances de succès (art. 136 al. 1 let. a CPP), la requête tendant à l’octroi de l’assistance judiciaire gratuite et à la désignation d’un conseil juridique gratuit doit être rejetée. Les frais de la procédure de recours, constitués en l’espèce du seul émolument d'arrêt, par 770 fr. (art. 20 al. 1 TFIP [Tarif des frais de procédure et indemnités en matière pénale du 28 septembre 2010 ; BLV 312.03.1]), seront mis à la charge de la recourante, qui succombe (art. 428 al. 1 CPP). Le montant de 550 fr. déjà versé par celle-ci à titre de sûretés sera imputé sur ces frais (art. 383 al. 1 CPP ; art. 7 TFIP), le solde restant dû à l’Etat s’élevant à 220 francs.</w:t>
      </w:r>
    </w:p>
    <w:p>
      <w:r>
        <w:t>- 8 - Par ces motifs, la Chambre des recours pénale prononce : I. Le recours est rejeté, dans la mesure où il est recevable. II. L’ordonnance du 13 octobre 2023 est confirmée. III. La requête d’assistance judiciaire est rejetée. IV. Les frais d’arrêt, par 770 fr. (sept cent septante francs), sont mis à la charge de D.________. V. Le montant de 550 fr. (cinq cent cinquante francs) déjà versé par D.________ à titre de sûretés est imputé sur les frais mis à sa charge au chiffre IV ci-dessus, le solde dû à l’Etat s’élevant à 220 fr. (deux cent vingt francs). VI. L’arrêt est exécutoire. Le président : La greffière : Du Le présent arrêt, dont la rédaction a été approuvée à huis clos, est notifié, par l'envoi d'une copie complète, à : - D.________, - Ministère public central, et communiqué à : - Y.________, - Mme la Procureure de l’arrondissement de l’Est vaudois, par l’envoi de photocopies. Le présent arrêt peut faire l'objet d'un recours en matière pénale devant le Tribunal fédéral au sens des art. 78 ss LTF (loi du 17 juin</w:t>
      </w:r>
    </w:p>
    <w:p>
      <w:r>
        <w:t>- 9 - 2005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