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PE23.019214 vom 8. Mai 2024</w:t>
      </w:r>
    </w:p>
    <w:p>
      <w:r>
        <w:t>VD Tribunal cantonal, 2024-05-08, FR</w:t>
      </w:r>
    </w:p>
    <w:p>
      <w:r>
        <w:rPr>
          <w:b/>
        </w:rPr>
        <w:t xml:space="preserve">Quelle: </w:t>
      </w:r>
      <w:r>
        <w:t>https://mcp.opencaselaw.ch/entscheid/vd_gerichte_PE23.019214</w:t>
      </w:r>
    </w:p>
    <w:p>
      <w:r>
        <w:t>FR: VD_GERICHTE PE23.019214 du 8 mai 2024</w:t>
      </w:r>
    </w:p>
    <w:p>
      <w:r>
        <w:t>IT: VD_GERICHTE PE23.019214 del 8 maggio 2024</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BLV 312.01] ; art. 80 LOJV [loi d’organisation judiciaire du 12 décembre 1979 ; BLV 173.01]). Le recours s’exerce par le dépôt d’un mémoire écrit et dûment motivé (art. 390 al. 1 et 396 al. 1 CPP). Selon l’art. 110 CPP, les requêtes écrites déposées doivent être datées et signées (al. 1). La transmission des requêtes et des recours et des annexes peut se faire par voie électronique, mais à certaines conditions de forme prévues à l'art. 110 al. 2 CPP ainsi que par l'ordonnance sur la communication électronique dans le cadre de procédures civiles et pénales de procédures en matière de poursuite pour dettes et faillites (OCEI-PCPP ; RS 272.1). Un courrier électronique ne répond pas aux exigences de forme posées aux art. 110 al. 1 et 2 CPP s'il n'est pas muni d'une signature manuscrite ou d'une signature électronique certifiée (TF 1B_456/2020 du 8 octobre 2020 consid. 2). Aux termes de l'art. 67 CPP, la Confédération et les cantons déterminent les langues dans lesquelles leurs autorités pénales conduisent les procédures (al. 1) ; les autorités pénales cantonales accomplissent tous les actes de procédure dans ces langues, la direction de la procédure pouvant autoriser des dérogations (al. 2). La jurisprudence déduit de ces dispositions que les actes des parties doivent être rédigés dans la langue</w:t>
      </w:r>
    </w:p>
    <w:p>
      <w:r>
        <w:t>- 4 - officielle du canton (ATF 143 IV 117 consid. 2.1). A défaut, un délai doit être accordé pour produire, sous peine d’irrecevabilité, une traduction dans la langue officielle (ATF 143 IV 117 précité ; CREP 2 juillet 2023/532 consid. 1.1). Dans le canton de Vaud, la langue de la procédure est le français (art. 16 LVCPP).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La motivation d'un acte de recours doit être entièrement contenue dans l'acte lui-même et ne saurait être complétée ultérieurement (TF 7B_51/2024 du 25 avril 2024 consid. 2.2.2 ; TF 6B_1447/2022 du 14 mars 2023 consid. 1.1 et les arrêts cités). La motivation doit être complète, si bien qu'un simple renvoi à d'autres écritures n'est pas suffisant (TF 6B_1447/2022 précité ; cf. en lien avec l’art. 42 LTF, ATF 140 III 115 consid. 2). Selon l'art. 385 al. 2 CPP, si le mémoire ne satisfait pas à ces exigences, l'autorité de recours le renvoie au recourant afin que ce dernier le complète dans un bref délai ; si, après l'expiration de ce délai supplémentaire, le mémoire ne satisfait toujours pas à ces exigences, l'autorité de recours n'entre pas en matière. Cette disposition ne permet toutefois pas de remédier à un défaut de motivation dans le mémoire en question (TF 6B_1447/2022 précité).</w:t>
      </w:r>
    </w:p>
    <w:p>
      <w:r>
        <w:rPr>
          <w:b/>
        </w:rPr>
        <w:t>E. 1.1</w:t>
      </w:r>
    </w:p>
    <w:p>
      <w:r>
        <w:t>Aux termes de l’art. 393 al. 1 let. a CPP, le recours est recevable contre les décisions et les actes de procédure du ministère public.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w:t>
      </w:r>
    </w:p>
    <w:p>
      <w:r>
        <w:rPr>
          <w:b/>
        </w:rPr>
        <w:t>E. 1.2</w:t>
      </w:r>
    </w:p>
    <w:p>
      <w:r>
        <w:t>En l’espèce, le recours adressé par X.________ le 22 avril 2024 par simple courrier électronique ne satisfait pas à l’exigence de la forme écrite imposée par l’art. 396 al. 1 CPP, de sorte qu’il est irrecevable pour ce motif déjà. Qui plus est, le recours ne contient pas la moindre motivation. X.________ se contente en effet de simplement indiquer qu’il entend faire</w:t>
      </w:r>
    </w:p>
    <w:p>
      <w:r>
        <w:t>- 5 - recours contre l’ordonnance querellée (« Widerspruch einlege »). Le recours est également irrecevable en raison de ce défaut de motivation. Dans ces circonstances, il sera renoncé à demander au recourant la production d’une traduction du recours en langue française.</w:t>
      </w:r>
    </w:p>
    <w:p>
      <w:r>
        <w:rPr>
          <w:b/>
        </w:rPr>
        <w:t>E. 2</w:t>
      </w:r>
    </w:p>
    <w:p>
      <w:r>
        <w:t>En définitive, le recours doit être déclaré irrecevable, sans échange d’écritures (art. 390 al. 2 CPP). Au vu des circonstances, les frais de la procédure de recours, constitués du seul émolument d’arrêt, par 550 fr. (art. 21 al. 1 TFIP [tarif des frais de procédure et indemnités en matière pénale du 28 septembre 2010 ; BLV 312.03.1] par renvoi de l’art. 22 TFIP), seront exceptionnellement laissés à la charge de l’Etat (art. 423 al. 1 CPP). Par ces motifs, la Chambre des recours pénale prononce : I. Le recours est irrecevable. II. Les frais d’arrêt, par 550 fr. (cinq cent cinquante francs), sont laissés à la charge de l’Etat. III. L’arrêt est exécutoire. Le président : La greffière : Du Le présent arrêt, dont la rédaction a été approuvée à huis clos, est notifié, par l'envoi d'une copie complète, à : - M. X.________, - Ministère public central,</w:t>
      </w:r>
    </w:p>
    <w:p>
      <w:r>
        <w:t>- 6 -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