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PE23.019094 vom 4. Mai 2024</w:t>
      </w:r>
    </w:p>
    <w:p>
      <w:r>
        <w:t>VD Tribunal cantonal, 2024-05-04, FR</w:t>
      </w:r>
    </w:p>
    <w:p>
      <w:r>
        <w:rPr>
          <w:b/>
        </w:rPr>
        <w:t xml:space="preserve">Quelle: </w:t>
      </w:r>
      <w:r>
        <w:t>https://mcp.opencaselaw.ch/entscheid/vd_gerichte_PE23.019094</w:t>
      </w:r>
    </w:p>
    <w:p>
      <w:r>
        <w:t>FR: VD_GERICHTE PE23.019094 du 4 mai 2024</w:t>
      </w:r>
    </w:p>
    <w:p>
      <w:r>
        <w:t>IT: VD_GERICHTE PE23.019094 del 4 maggio 2024</w:t>
      </w:r>
    </w:p>
    <w:p>
      <w:pPr>
        <w:pStyle w:val="Heading2"/>
      </w:pPr>
      <w:r>
        <w:t>Erwägungen</w:t>
      </w:r>
    </w:p>
    <w:p>
      <w:r>
        <w:rPr>
          <w:b/>
        </w:rPr>
        <w:t>E. 1</w:t>
      </w:r>
    </w:p>
    <w:p>
      <w:r>
        <w:t>CPP).</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dans le délai légal, auprès de l'autorité compétente et dans les formes prescrites (art. 385 al.</w:t>
      </w:r>
    </w:p>
    <w:p>
      <w:r>
        <w:rPr>
          <w:b/>
        </w:rPr>
        <w:t>E. 2.1</w:t>
      </w:r>
    </w:p>
    <w:p>
      <w:r>
        <w:t>Le recourant reproche au Ministère public d’avoir refusé d’entrer en matière en violation du principe in dubio pro duriore, et d’avoir failli à sa mission en ne poursuivant pas les infractions dénoncées. Il fait valoir qu’il a prouvé par pièce que c’était bien N.________ qui avait effectué le versement libérant le capital- actions de H.________SA, de telle sorte que le Ministère public ne pouvait pas ignorer que D.________ s’était rendu coupable de faux dans les titres en rédigeant et signant l’acte de cession qui constatait faussement qu’il était propriétaire du capital-actions de H.________SA, ainsi que d’escroquerie en trompant N.________, afin d’obtenir son inscription comme administrateur de dite société au registre du commerce.</w:t>
      </w:r>
    </w:p>
    <w:p>
      <w:r>
        <w:rPr>
          <w:b/>
        </w:rPr>
        <w:t>E. 2.2.1</w:t>
      </w:r>
    </w:p>
    <w:p>
      <w:r>
        <w:t>Aux termes de l’art. 104 al. 1 CPP, ont la qualité de partie le prévenu (let. a), la partie plaignante (let. b) et le ministère public, lors des</w:t>
      </w:r>
    </w:p>
    <w:p>
      <w:r>
        <w:t>- 7 - débats ou dans la procédure de recours (let. c). En outre, la Confédération et les cantons peuvent reconnaître la qualité de partie, avec tous les droits ou des droits limités, à d’autres autorités chargées de sauvegarder des intérêts publics (art. 104 al. 2 CPP).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JdT 2020 IV 65). L’art. 115 al. 2 CPP ajoute que les personnes qui ont qualité pour déposer plainte pénale sont toujours considérées comme des lésées. Cette disposition étend donc la qualité de lésé à d’autres personnes habilitées, soit les représentants légaux, les héritiers du lésé, ainsi que des autorités et organisations habilitées à porter plainte (TF 1B_537/2021 du 13 janvier 2022 consid. 2.1 ; TF 1B_507/2020 du 8 février 2021 consid. 3.1). En règle générale, seul peut se prévaloir d’une atteinte directe le titulaire du bien juridique protégé par la disposition pénale qui a été enfreinte (ATF 141 IV 454 consid. 2.3.1 ; ATF 141 IV 1 consid. 3.1 ; ATF 138 IV 258 consid. 2.3, JdT 2013 IV 214).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 TF 1B_537/2021 du 13 janvier 2022 consid. 2.1 ; TF 6B_608/2020 du 4 décembre 2020 consid. 3.1). Le dénonciateur qui n’est ni lésé, ni partie plaignante ne jouit d’aucun autre droit en procédure que celui d’être informé par l’autorité de poursuite pénale, à sa demande, sur la suite que celle-ci a donnée à sa dénonciation (cf. art. 301 al. 2 et 3 CPP).</w:t>
      </w:r>
    </w:p>
    <w:p>
      <w:r>
        <w:t>- 8 -</w:t>
      </w:r>
    </w:p>
    <w:p>
      <w:r>
        <w:rPr>
          <w:b/>
        </w:rPr>
        <w:t>E. 2.2.2</w:t>
      </w:r>
    </w:p>
    <w:p>
      <w:r>
        <w:t>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Cela étant, une partie qui n’est pas concrètement lésée par la décision ne dispose donc pas de la qualité pour recourir et son recours est irrecevable (ATF 144 IV 81 consid. 2.3.1). Ainsi, le dénonciateur (cf. art. 105 al. 1 let. b CPP) n’a en principe pas la qualité pour recourir au sens de l’art. 382 CPP, sauf s’il peut faire valoir une atteinte directe à ses droits (Moreillon/Parein-Reymond, Petit Commentaire, Code de procédure pénale, 2e éd., Bâle 2016, n. 5 ad. art. 382 CPP). 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 évidente (TF 1B_304/2020 du 3 décembre 2020 consid. 2.1 ; Lieber, in Donatsch/Lieber/Summers/Wohlers (éd.), Kommentar zur Schweizerischen Strafprozessordnung [StPO], Art. 196-457, 3e éd. 2020, n. 7c ad art. 382 CPP).</w:t>
      </w:r>
    </w:p>
    <w:p>
      <w:r>
        <w:rPr>
          <w:b/>
        </w:rPr>
        <w:t>E. 2.2.3</w:t>
      </w:r>
    </w:p>
    <w:p>
      <w:r>
        <w:t>Selon l’art. 138 ch. 1 CP, se rend coupable d’abus de confiance et sera puni d’une peine privative de liberté de cinq ans au plus ou d’une peine pécuniaire,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w:t>
      </w:r>
    </w:p>
    <w:p>
      <w:r>
        <w:t>- 9 - rapport juridique, il ne puisse en faire qu'un usage déterminé, en d'autres termes, qu'il l'ait reçue à charge pour lui d'en disposer au gré d'un tiers, notamment de la conserver, de la gérer ou de la remettre (ATF 133 IV 21 consid. 6.2).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consid. 2.2.2 ; ATF 124 IV 9 consid. 1 ; ATF 120 IV 117 consid. 2).</w:t>
      </w:r>
    </w:p>
    <w:p>
      <w:r>
        <w:rPr>
          <w:b/>
        </w:rPr>
        <w:t>E. 2.2.4</w:t>
      </w:r>
    </w:p>
    <w:p>
      <w:r>
        <w:t>Aux termes de l’art. 146 CP, se rend coupable d’escroquerie quiconque qui, dans le dessein de se procurer ou de procurer à un tiers un enrichissement illégitime, induit astucieusement en erreur une personne par des affirmations fallacieuses ou par la dissimulation de faits vrais ou l’aura astucieusement confortée dans son erreur et détermine de la sorte la victime à des actes préjudiciables à ses intérêts pécuniaires ou à ceux d’un tiers. L’erreur de la dupe provoquée par la tromperie astucieuse doit l’avoir déterminée à effectuer des actes préjudiciables à ses intérêts pécuniaires ou à ceux d’un tiers.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w:t>
      </w:r>
    </w:p>
    <w:p>
      <w:r>
        <w:t>- 10 -</w:t>
      </w:r>
    </w:p>
    <w:p>
      <w:r>
        <w:rPr>
          <w:b/>
        </w:rPr>
        <w:t>E. 2.2.5</w:t>
      </w:r>
    </w:p>
    <w:p>
      <w:r>
        <w:t>A teneur de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Il peut s'agir, par exemple, d'un devoir de vérification qui incombe à l'auteur du document ou de l'existence de dispositions légales, comme les art. 958a ss CO (Code des obligations du 30 mars 1911 ; RS 220),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ATF 142 IV 119 consid. 2.1 et les réf.). Le caractère de titre d'un écrit est relatif. Par certains aspects, il peut avoir ce caractère, par d'autres non. Selon une jurisprudence bien établie, un contrat dont le contenu est faux ne constitue en principe pas un titre car il ne bénéficie</w:t>
      </w:r>
    </w:p>
    <w:p>
      <w:r>
        <w:t>- 11 - pas de la crédibilité accrue nécessaire (ATF 146 IV 258 consid. 1.1.1 ; ATF 123 IV 61 consid. 5c/cc ; ATF 120 IV 25 consid. 3f ; TF 6B_201/2023 et 211/2023 du 8 janvier 2024 consid. 5.1.2 ; TF 6B_467/2019 du 19 juillet 2019 consid. 3.3.2 et 6B_72/2015 du 27 mai 2015 consid. 1.5).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146 IV 258 consid. 1.1.1 ; ATF 123 IV 61 consid. 5c/cc ; 120 IV 25 consid. 3f ; TF 6B_1270/2021 du 2 juin 2022 consid. 4.1.2 non publié in ATF 148 IV 288 et TF 6B_472/2011 du 14 mai 2012 consid. 14.2). L'art. 251 CP a ainsi été jugé inapplicable à un contrat de vente dont certains éléments étaient faux (ATF 120 IV 25), à un contrat simulé utilisé par une partie pour obtenir un crédit (ATF 123 IV 61) ainsi qu'à un contrat de travail qui ne bénéficiait d'aucune garantie de véracité particulière (cf. notamment TF 6S.423/2003 du 3 janvier 2004 consid. 4.3 et TF 6S.375/2000 du 1er novembre 2000 consid. 2c). Le faux intellectuel dans les titres n'a pas non plus été admis s'agissant de deux déclarations relatives au financement de l'achat d'un appartement, documents dont le contenu était mensonger (ATF 125 IV 273 consid. 3b).</w:t>
      </w:r>
    </w:p>
    <w:p>
      <w:r>
        <w:rPr>
          <w:b/>
        </w:rPr>
        <w:t>E. 2.2.6</w:t>
      </w:r>
    </w:p>
    <w:p>
      <w:r>
        <w:t>Selon l'art. 253 CP, quiconque, en induisant en erreur un fonctionnaire ou un officier public, l'aura amené à constater faussement dans un titre authentique un fait ayant une portée juridique, notamment à certifier faussement l'authenticité d'une signature ou l'exactitude d'une copie ; celui qui aura fait usage d'un titre ainsi obtenu pour tromper autrui sur le fait qui y est constaté, sera puni d'une peine privative de liberté de cinq ans au plus ou d'une peine pécuniaire. Cette disposition vise un cas particulier de faux intellectuel dans les titres commis en qualité d'auteur médiat (ATF 144 IV 13 consid. 2.2.2).</w:t>
      </w:r>
    </w:p>
    <w:p>
      <w:r>
        <w:t>- 12 - Selon l'art. 110 al. 5 CP et sous réserve des exceptions prévues par cette disposition, sont des titres authentiques, tous les titres émanant des membres d'une autorité, de fonctionnaires ou d'officiers publics agissant dans l'exercice de leur fonction. L'art. 110 al. 4 CP donne une définition du titre ; il s'agit, notamment, de tout écrit destiné et propre à prouver un fait ayant une portée juridique. Il en résulte que le titre doit, par sa nature ou par l'usage qui en est fait, être objectivement apte à prouver le fait qu'il exprime et ce fait doit avoir une portée juridique, c'est- à-dire avoir une incidence dans le domaine juridique. L'acte authentique constitutif d'une société anonyme est destiné et propre à prouver les déclarations des fondateurs. Il s'agit donc d'un titre, le fait que le notaire vérifie ou puisse vérifier la conformité des faits confirmés n'est pas pertinent (ATF 101 IV 145 consid. 2a ; ATF 101 IV 60 consid. 2a ; TF 6B_134/2014 du 16 juin 2014 consid. 3.3 ; TF 6B_102/2007 du 13 novembre 2007 consid. 5.4). Selon la jurisprudence, tombe sous le coup de l'art. 253 CP celui qui obtient frauduleusement une constatation fausse dans l'inscription au registre du commerce lors de la fondation d'une société à responsabilité limitée (ATF 81 IV 238 ; TF 6B_279/2021 du 20 octobre 2021 consid. 2.1), ou celui qui prétend fallacieusement faire des apports en espèces, alors qu'en réalité les fondateurs de la société anonyme entendent les effectuer par une reprise de biens (ATF 101 IV 145 consid. 2b), et enfin celui qui, au moment de la fondation d'une société anonyme, déclare faussement que les apports sont à la libre disposition de ladite société (ATF 101 IV 60 consid 2b ; TF 6B_134/2014 précité consid. 3.3 ; TF 6B_230/2011 du 11 août 2011 consid. 5.1).</w:t>
      </w:r>
    </w:p>
    <w:p>
      <w:r>
        <w:rPr>
          <w:b/>
        </w:rPr>
        <w:t>E. 2.3</w:t>
      </w:r>
    </w:p>
    <w:p>
      <w:r>
        <w:t>En l’espèce, force est d’admettre que le recourant ne peut pas faire valoir d’intérêt juridiquement protégé, dès lors qu’il n’est en réalité pas lésé par les infractions dont il se prévaut, ni par toute autre infraction d’ailleurs. Comme il l’allègue lui-même, c’est N.________ qui aurait été victime de l’escroquerie qu’il a dénoncée, puisque c’est cette dernière qui</w:t>
      </w:r>
    </w:p>
    <w:p>
      <w:r>
        <w:t>- 13 - se serait retrouvée dépossédée des 50'000 fr. versés pour libérer la moitié du capital de la société. En effet, à l’époque où l’infraction aurait été commise, le recourant n’avait pas encore acquis les actions auprès d’N.________, de telle sorte qu’il n’a pas subi d’appauvrissement. On relèvera d’ailleurs que le recourant ne pouvait ignorer qu’il y avait litige sur la propriété des actions lorsqu’il les a acquises auprès d’N.________, puisque le Tribunal civil avait déjà rendu son jugement reconnaissant la qualité d’actionnaires à D.________ et à lui-même à raison de 50 % chacun. S’agissant de l’abus de confiance, que le recourant a évoqué dans sa plainte mais pas dans son recours, on ne voit pas quels agissements de D.________ à son égard pourraient être constitutifs de cette infraction, le recourant ne lui ayant pas confié de biens ou de valeurs patrimoniales. Enfin, le recourant estime avoir établi à satisfaction de droit que l’acte de cession des actions était un faux, puisqu’il a produit, selon lui, la preuve que c’était N.________ qui avait libéré le capital-actions et non D.________. Il reproche donc au Ministère public d’avoir cru les déclarations de D.________, selon lesquelles il aurait mandaté N.________ pour l’acquisition du capital, et d’avoir écarté la prévention de faux dans les titres. On relèvera que le recourant semble de mauvaise foi, dès lors qu’il ressort d’un courriel adressé à son défenseur qu’il était parfaitement conscient que D.________ n’était pas propriétaire de 100 % des actions, et qu’il a malgré tout, au même titre que ce dernier, signé le document attestant de ce fait, se rendant ainsi complice des agissements dont il se déclare victime. Quoi qu’il en soit, pour autant qu’on puisse considérer que ce contrat puisse être qualifié de titre, on constate une fois de plus que le recourant n’est en réalité pas lésé par l’infraction qu’il dénonce, puisque l’acte de cession ne mentionne aucune contrepartie de sa part. Il n’a dès lors subi aucun appauvrissement. Ce n’est que par la suite qu’il a acquis les actions auprès d’N.________, alors même qu’il savait que leur propriété était litigieuse.</w:t>
      </w:r>
    </w:p>
    <w:p>
      <w:r>
        <w:t>- 14 - Pour le surplus, on ne voit pas d’autre infraction dont le recourant pourrait avoir été victime et qui lui permettrait de faire valoir un intérêt juridiquement protégé. En particulier, il n’est pas davantage lésé par l’infraction réprimée par l’art. 253 CP, soit l’obtention d’une constatation fausse, qui aurait pu trouver application en l’espèce, V.________ reprochant à D.________ de s’être fait faussement inscrire comme administrateur de H.________SA au registre du commerce.</w:t>
      </w:r>
    </w:p>
    <w:p>
      <w:r>
        <w:rPr>
          <w:b/>
        </w:rPr>
        <w:t>E. 3</w:t>
      </w:r>
    </w:p>
    <w:p>
      <w:r>
        <w:t>En définitive, faute d’atteinte directe à ses droits, le recourant, dénonciateur, n’a pas la qualité de partie. Il s’ensuit que, faute d’intérêt juridiquement protégé, il n’a pas la qualité pour recourir et que son recours doit par conséquent être déclaré irrecevable sans échange d’écritures (art. 390 al. 2 CPP). Les frais de la procédure de recours, constitués du seul émolument d’arrêt (art. 422 al. 1 CPP), par 1’430 fr. (art. 20 al. 1 TFIP [tarif des frais de procédure et indemnités en matière pénale du 28 septembre 2010 ; BLV 312.03.1]), seront mis à la charge du recourant, qui succombe (art. 428 al. 1 CPP). Le montant de 550 fr. déjà versé par celui-ci à titre de sûretés (art. 383 al. 1 CPP) sera imputé sur les frais mis à sa charge (art. 7 TFIP). Par ces motifs, la Chambre des recours pénale prononce : I. Le recours est irrecevable. II. Les frais d’arrêt, par 1'430 fr. (mille quatre cent trente francs), sont mis à la charge de V.________. III. Le montant de 550 fr. (cinq cent cinquante francs) déjà versé par le recourant à titre de sûretés est imputé sur les frais mis à sa charge au chiffre II ci-dessus, le solde dû s’élevant à 880 fr. (huit cent huitante francs).</w:t>
      </w:r>
    </w:p>
    <w:p>
      <w:r>
        <w:t>- 15 - IV. L’arrêt est exécutoire. Le président : La greffière : Du Le présent arrêt, dont la rédaction a été approuvée à huis clos, est notifié, par l'envoi d'une copie complète, à : - Me Jacqueline Mottard (pour V.________), - Ministère public central, et communiqué à : - M. D.________,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