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PE23.019006 vom 14. Mai 2025</w:t>
      </w:r>
    </w:p>
    <w:p>
      <w:r>
        <w:t>VD Tribunal cantonal, 2025-05-14, FR</w:t>
      </w:r>
    </w:p>
    <w:p>
      <w:r>
        <w:rPr>
          <w:b/>
        </w:rPr>
        <w:t xml:space="preserve">Quelle: </w:t>
      </w:r>
      <w:r>
        <w:t>https://mcp.opencaselaw.ch/entscheid/vd_gerichte_PE23.019006</w:t>
      </w:r>
    </w:p>
    <w:p>
      <w:r>
        <w:t>FR: VD_GERICHTE PE23.019006 du 14 mai 2025</w:t>
      </w:r>
    </w:p>
    <w:p>
      <w:r>
        <w:t>IT: VD_GERICHTE PE23.019006 del 14 maggio 2025</w:t>
      </w:r>
    </w:p>
    <w:p>
      <w:pPr>
        <w:pStyle w:val="Heading2"/>
      </w:pPr>
      <w:r>
        <w:t>Erwägungen</w:t>
      </w:r>
    </w:p>
    <w:p>
      <w:r>
        <w:rPr>
          <w:b/>
        </w:rPr>
        <w:t>E. 1.1</w:t>
      </w:r>
    </w:p>
    <w:p>
      <w:r>
        <w:t>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retrancher des pièces du dossier est ainsi susceptible de recours (ATF 143 IV 475 consid. 2 ; TF 1B_485/2021 du 26 novembre 2021 consid. 2.4 ; CREP 19 août 2024/586 consid. 1.1). Ce recours s’exerce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w:t>
      </w:r>
    </w:p>
    <w:p>
      <w:r>
        <w:rPr>
          <w:b/>
        </w:rPr>
        <w:t>E. 2</w:t>
      </w:r>
    </w:p>
    <w:p>
      <w:r>
        <w:t>- 5 -</w:t>
      </w:r>
    </w:p>
    <w:p>
      <w:r>
        <w:rPr>
          <w:b/>
        </w:rPr>
        <w:t>E. 2.1</w:t>
      </w:r>
    </w:p>
    <w:p>
      <w:r>
        <w:t>Le recourant invoque tout d’abord une violation de son droit d’être entendu, au motif qu’il a requis le retranchement de l’enregistrement également en raison du fait qu’il ne s’agissait que d’un « enregistrement partiel ». Or, le Ministère public ne s’est pas exprimé sur cette problématique, ce qui constituerait un défaut de motivation. Ensuite, il fait valoir que la disposition retenue du droit kosovar est en réalité l’exception à la règle, qui prévoit en général qu’un tel moyen de preuve est illicite. Il se prévaut également d’une violation de l’art. 8 CEDH et relève qu’il ne pouvait sérieusement s’attendre à l’application d’un droit étranger dans le cadre d’une procédure pénale suisse ouverte pour une infraction qui aurait été commise en Suisse. Il expose encore que l’application du droit kosovar conduit à un résultat choquant, dès lors que l’enregistrement en question est illicite en droit suisse, en vertu de l’art. 179ter CP, et que la pesée des intérêts en présence plaide pour une inexploitabilité, dès lors que la prétendue infraction ne saurait être qualifiée de grave. Enfin, il conteste la tardiveté de sa requête, élément arbitraire selon lui. Il soutient que ce n’est que lors de l’audition du 14 mars 2025 que les circonstances entourant cet enregistrement ont été expliquées, en particulier que celui-ci n’était que partiel et recueilli dans des circonstances douteuses.</w:t>
      </w:r>
    </w:p>
    <w:p>
      <w:r>
        <w:rPr>
          <w:b/>
        </w:rPr>
        <w:t>E. 2.2.1</w:t>
      </w:r>
    </w:p>
    <w:p>
      <w:r>
        <w:t>Le Code de procédure pénale contient des dispositions sur les méthodes d’administration des preuves interdites (art. 140 CPP) et sur l’exploitation des moyens de preuve obtenus illégalement (art. 141 CPP).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w:t>
      </w:r>
    </w:p>
    <w:p>
      <w:r>
        <w:t>- 6 -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La loi pénale ne réglemente pas explicitement l'hypothèse des preuves illicites recueillies par des particuliers. De jurisprudence constante, de telles preuves ne sont exploitables que si elles pouvaient être recueillies licitement par des autorités de poursuite pénale et, en outre, qu'une pesée des intérêts plaide en faveur de leur utilisation dans la procédure (ATF 147 IV 16 consid. 1.1; ATF 146 IV 226 consid. 2.1 ; TF 6B_1181/2023 du 1er juillet 2024 consid. 2.2).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 ATF 147 IV 9 consid. 1.3.1 ; ATF 146 IV 226 consid. 2 et les références citées ; TF 6B_1181/2023 précité). En tout état de cause, au stade de l’instruction, il convient de ne constater l’inexploitabilité de ce genre de moyen de preuve que dans des cas manifestes (ATF 146 IV 226 précité ; TF 7B_548/2024 du 9 juillet 2024 consid. 1.3 ; TF 7B_868/2023 du 1er décembre 2023 consid. 4.3.2 ; Moreillon/Parein-Reymond, Petit Commentaire, Code de procédure pénale, 2e éd., n. 5 ad art. 141 CPP).</w:t>
      </w:r>
    </w:p>
    <w:p>
      <w:r>
        <w:rPr>
          <w:b/>
        </w:rPr>
        <w:t>E. 2.2.2</w:t>
      </w:r>
    </w:p>
    <w:p>
      <w:r>
        <w:t>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(ATF 147 IV 274 consid. 1.10.1 ; ATF 144 IV 189 consid. 5.1 ;</w:t>
      </w:r>
    </w:p>
    <w:p>
      <w:r>
        <w:t>- 7 -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147 IV 274 précité ; ATF 144 IV 189 précité ; ATF 143 IV 117 consid. 3.2 ; TF 6B_1381/2023 du 11 novembre 2024 consid. 1.3.1).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(TF 6B_1381/2023 précité). Ce principe et son corollaire, l'interdiction de l'abus de droit, s'opposent notamment à ce qu'une partie dépose un recours pour vice de procédure, si elle s'est accommodée de la violation d'une prescription légale dont elle connaissait le sens (ATF 138 I 97 consid. 4.1.5 ; TF 6B_1381/2023 précité ; TF 6B_893/2023 du 26 février 2024 consid. 4.2.1 ; TF 7B_166/2023 du 29 septembre 2023 consid. 2.3.1). Ainsi, la Chambre des recours pénale a déjà, à plusieurs reprises, refusé de retrancher des moyens de preuve, notamment des images de vidéosurveillance, en application des règles de la bonne foi, pour le motif que les requêtes en ce sens étaient tardives ou contradictoires, la partie – assistée d’un avocat – s'étant accommodée pendant plusieurs mois du prétendu vice qu’elle dénonçait ou ayant été entendue entre-temps à plusieurs reprises sans soulever de moyen en relation avec celui-ci (cf. pour le cas d’images de vidéosurveillance : CREP 24 février 2024/149 ; CREP 28 avril 2023/338 et pour d’autres situations : CREP 19 août 2024/586 précité ; CREP 26 mars 2024/235 ; CREP 19 janvier 2024/57 ; CREP 4 avril 2022/238, JdT 2022 II 92).</w:t>
      </w:r>
    </w:p>
    <w:p>
      <w:r>
        <w:rPr>
          <w:b/>
        </w:rPr>
        <w:t>E. 2.3</w:t>
      </w:r>
    </w:p>
    <w:p>
      <w:r>
        <w:t>En l’espèce, il découle de la jurisprudence constante rappelée ci-dessus qu’une partie qui s’aperçoit qu’une règle procédurale a été violée à son détriment ne peut laisser la procédure se poursuivre sans réagir.</w:t>
      </w:r>
    </w:p>
    <w:p>
      <w:r>
        <w:t>- 8 - Le recourant ne conteste pas avoir appris l’existence de l’enregistrement lorsqu’il a consulté le dossier le 21 janvier 2025. Il expose toutefois ensuite de manière contradictoire que le dossier ne contenait alors pas l’enregistrement et qu’il ne pouvait pas s’attendre à ce que le Ministère public « entre en matière » sur un tel moyen de preuve. Ce raisonnement ne tient pas. L’enregistrement – partiel ou non – a bien été versé au dossier le 11 octobre 2024 comme pièce à conviction, selon fiche y relative intitulée « 1 CD contenant un appel téléphonique de A.H.________ au papa Z.________ » (P. 31). Il appartenait ainsi clairement au recourant d’en solliciter le retranchement au moment où il en a eu connaissance, soit directement après la consultation du dossier le 21 janvier 2025. Le fait qu’une audition ait été appointée le 14 mars 2025 ne justifiait en rien d’attendre puisque la prétendue illicéité de l’enregistrement était immédiatement connue du recourant à la consultation du dossier, celui-ci ayant eu accès au procès-verbal de l’audition-plainte d’Z.________ du 17 septembre 2024, lors de laquelle il a expliqué les circonstances de l’enregistrement. Le recourant a même encore attendu au-delà de l’audition du 14 mars 2025, puisque sa requête formelle n’est intervenue que le 19 mars 2025. Il résulte de ce qui précède que le recourant, pourtant assisté d’un mandataire professionnel, s’est accommodé pendant deux mois de la présence au dossier de l’enregistrement litigieux. C’est donc à juste titre que le Ministère public a refusé de le retrancher du dossier. Ce constat suffit à sceller le sort du recours sans qu’il soit nécessaire d’examiner les autres arguments soulevés par le recourant quant à la licéité de cette preuve.</w:t>
      </w:r>
    </w:p>
    <w:p>
      <w:r>
        <w:rPr>
          <w:b/>
        </w:rPr>
        <w:t>E. 3</w:t>
      </w:r>
    </w:p>
    <w:p>
      <w:r>
        <w:t>En définitive, le recours, manifestement mal fondé, doit être rejeté sans échange d’écritures (art. 390 al. 2 CPP), et l’ordonnance entreprise confirmée. Les frais de la procédure de recours, par 880 fr. (art. 20 al. 1 TFIP [tarif des frais de procédure et indemnités en matière pénale du 28</w:t>
      </w:r>
    </w:p>
    <w:p>
      <w:r>
        <w:t>- 9 - septembre 2010 ; BLV 312.03.1]), sont mis à la charge du recourant, qui succombe (art. 428 al. 1 CPP). Par ces motifs, la Chambre des recours pénale prononce : I. Le recours est rejeté. II. L’ordonnance du 24 avril 2025 est confirmée. III. Les frais d’arrêt, par 880 fr. (huit cent huitante francs), sont mis à la charge de A.H.________. IV. L’arrêt est exécutoire. Le président : Le greffier : Du Le présent arrêt, dont la rédaction a été approuvée à huis clos, est notifié, par l'envoi d'une copie complète, à : - Me Pierre-Xavier Luciani, avocat (pour A.H.________), - Ministère public central, et communiqué à : - Mme la Procureure de l’arrondissement de La Côte, - Me Nathan Borgeaud, avocat (pour Z.________),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