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PE23.018772 vom 21. August 2025</w:t>
      </w:r>
    </w:p>
    <w:p>
      <w:r>
        <w:t>VD Tribunal cantonal, 2025-08-21, FR</w:t>
      </w:r>
    </w:p>
    <w:p>
      <w:r>
        <w:rPr>
          <w:b/>
        </w:rPr>
        <w:t xml:space="preserve">Quelle: </w:t>
      </w:r>
      <w:r>
        <w:t>https://mcp.opencaselaw.ch/entscheid/vd_gerichte_PE23.018772</w:t>
      </w:r>
    </w:p>
    <w:p>
      <w:r>
        <w:t>FR: VD_GERICHTE PE23.018772 du 21 août 2025</w:t>
      </w:r>
    </w:p>
    <w:p>
      <w:r>
        <w:t>IT: VD_GERICHTE PE23.018772 del 21 agosto 2025</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et dans les formes prescrites (art. 385 al. 1 CPP), par la partie plaignante qui a qualité pour recourir (art. 382 al. 1</w:t>
      </w:r>
    </w:p>
    <w:p>
      <w:r>
        <w:t>- 6 - CPP), auprès de l’autorité compétente, le recours est recevable. Les pièces produites à l’appui du recours sont également recevables.</w:t>
      </w:r>
    </w:p>
    <w:p>
      <w:r>
        <w:rPr>
          <w:b/>
        </w:rPr>
        <w:t>E. 2.1</w:t>
      </w:r>
    </w:p>
    <w:p>
      <w:r>
        <w:t>Le recourant reproche au Ministère public d’avoir violé son droit d’être entendu en ne motivant pas, dans l’ordonnance querellée, le rejet de sa réquisition de preuve tendant à la perquisition, au dépôt et à la mise sous séquestre des ordinateurs des prévenus. Sur le fond, deux mesures d’enquête s’imposent selon lui, à savoir une audition contradictoire des trois parties ainsi que la perquisition du matériel informatique des prévenus utilisé au moment des faits. La seconde mesure d’instruction permettrait selon lui de mettre sous main de justice les ordinateurs des prévenus, lesquels contiendraient vraisemblablement le document litigieux et donc des preuves pertinentes pour la procédure, d’identifier les propriétés du courriel contesté (adresse IP de l’émetteur, date d’impression, date de réception, date de transfert), d’accéder à la boite email contenant le courriel contesté, d’identifier sur quelle boite email a été reçu le courriel contesté, d’identifier à qui appartient cette boite email et d’identifier à quelle date ce courriel contesté a été imprimé, respectivement transmis et à qui. A tout le moins, il conviendrait d’adresser aux prévenus un ordre de production de pièces afin d’obtenir l’intégralité des courriels échangés avec lui au cours de l’année 2011, ce qui permettrait de voir quelle adresse il utilisait au cours de cette année. Il fait valoir que c’est à tort que le Ministère public aurait rejeté ses deux réquisitions de preuves, l’audition de confrontation et la saisie des ordinateurs de M.________ et F.________ étant de nature à permettre l’élucidation des faits et à démontrer l’infraction de faux dans les titres, voire une escroquerie au procès.</w:t>
      </w:r>
    </w:p>
    <w:p>
      <w:r>
        <w:rPr>
          <w:b/>
        </w:rPr>
        <w:t>E. 2.2.1</w:t>
      </w:r>
    </w:p>
    <w:p>
      <w:r>
        <w:t>Selon l’art. 6 CPP, les autorités pénales recherchent d’office tous les faits pertinents pour la qualification de l’acte et le jugement du</w:t>
      </w:r>
    </w:p>
    <w:p>
      <w:r>
        <w:t>- 7 - prévenu (al. 1). Elles instruisent avec un soin égal les circonstances qui peuvent être à la charge et à la décharge du prévenu (al. 2).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3e éd. 2025, n. 4 ad art. 6 CPP et les réf. cit.).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(TF 6B_524/2023 du 18 août 2023 consid. 3.1 ; TF 6B_317/2018 du 10 août 2018 consid. 3.2 et les arrêts cités).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 Reymond, op. cit., n. 8 ad art. 6 CPP et les réf. cit.).</w:t>
      </w:r>
    </w:p>
    <w:p>
      <w:r>
        <w:rPr>
          <w:b/>
        </w:rPr>
        <w:t>E. 2.2.2</w:t>
      </w:r>
    </w:p>
    <w:p>
      <w:r>
        <w:t>Conformément à l'art. 139 al. 2 CPP, il n'y a pas lieu d'administrer des preuves sur des faits non pertinents, notoires, connus de l'autorité ou déjà suffisamment prouvés. Cette règle codifie, pour la procédure pénale, la règle jurisprudentielle déduite de l’art. 29 al. 2 Cst. (Constitution fédérale de la Confédération suisse du 18 avril 1999 ; RS 101) en matière d’appréciation des preuves (TF 7B_106/2023 du 1er juillet 2025 consid. 3.2.1 et les réf. cit.). Le refus d’instruire viole le droit d’être entendu des parties si l’appréciation anticipée de la pertinence de la preuve est entachée d’arbitraire (ATF 146 III 73 consid. 5.2.2 ; TF 7B_106/2023 précité).</w:t>
      </w:r>
    </w:p>
    <w:p>
      <w:r>
        <w:rPr>
          <w:b/>
        </w:rPr>
        <w:t>E. 2.2.3</w:t>
      </w:r>
    </w:p>
    <w:p>
      <w:r>
        <w:t>Aux termes de l’art. 318 al. 1 CPP, lorsqu’il estime que l’instruction est complète, le ministère public rend une ordonnance pénale ou informe par écrit les parties dont le domicile est connu de la clôture</w:t>
      </w:r>
    </w:p>
    <w:p>
      <w:r>
        <w:t>- 8 - prochaine de l’instruction et leur indique s’il entend rendre une ordonnance de mise en accusation ou une ordonnance de classement. En même temps, il fixe aux parties un délai pour présenter leurs réquisitions de preuves.</w:t>
      </w:r>
    </w:p>
    <w:p>
      <w:r>
        <w:rPr>
          <w:b/>
        </w:rPr>
        <w:t>E. 2.2.4</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 ; TF 6B_957/2021 du 24 mars 2022 consid. 2.1). En revanche, le ministère public doit classer la procédure s’il apparaît, sur la base de faits assez</w:t>
      </w:r>
    </w:p>
    <w:p>
      <w:r>
        <w:t>- 9 - clairs pour qu’il n’y ait pas lieu de s’attendre à une appréciation différente de l’autorité de jugement (ATF 143 IV 241 consid. 2.3.2), qu’un renvoi aboutirait selon toute vraisemblance à un acquittement.</w:t>
      </w:r>
    </w:p>
    <w:p>
      <w:r>
        <w:rPr>
          <w:b/>
        </w:rPr>
        <w:t>E. 2.2.5</w:t>
      </w:r>
    </w:p>
    <w:p>
      <w:r>
        <w:t>Selon l'art. 251 ch. 1 CP (Code pénal suisse du 21 décembre 1937 ; RS 311.0),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 Sont des titres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144 IV 13 consid. 2.2.2 ; ATF 142 IV 119 consid. 2.1 ; TF 6B_1092/2023 du 24 mai 2024 consid. 3.1).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précité ; ATF 144 IV 13 précité ; TF 6B_1092/2023 précité). Un courriel imprimé et produit dans le cadre d’une procédure judiciaire peut constituer un titre au sens des art. 110 al. 4 et 251 CP (cf. ATF 138 IV 209 consid. 5.4).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w:t>
      </w:r>
    </w:p>
    <w:p>
      <w:r>
        <w:t>- 10 -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6B_52/2022 du 16 mars 2023 consid. 4.1.3).</w:t>
      </w:r>
    </w:p>
    <w:p>
      <w:r>
        <w:rPr>
          <w:b/>
        </w:rPr>
        <w:t>E. 2.3</w:t>
      </w:r>
    </w:p>
    <w:p>
      <w:r>
        <w:t>En l’espèce, le Ministère public a explicitement rejeté les réquisitions de preuves formulées par le recourant – y compris sa requête tendant à la perquisition, au dépôt et à la mise sous séquestre des ordinateurs des prévenus – au motif que le plaignant n’avait pas expliqué en quoi ces mesures étaient nécessaires à l’établissement des faits de l’affaire. Partant, le grief de violation du droit d’être entendu est mal fondé. Sur le fond, il est vrai que la seule mesure d’instruction entreprise par le Ministère public est la demande d’entraide judiciaire internationale adressée aux autorités britanniques le 2 novembre 2023, venue en retour le 1er octobre 2024. Elle a été rejetée au motif que les adresses IP aussi anciennes que celle pour laquelle la demande avait été formulée n’étaient pas conservées et qu’il n’était pas possible de vérifier quand l'adresse e-mail avait été utilisée pour la dernière fois, en raison des politiques de conservation des données relatives aux télécommunications au Royaume-Uni. S’agissant du séquestre et de la perquisition des ordinateurs des prévenus, dans lesquels le recourant estime que l’on trouvera vraisemblablement le courriel du 23 juin 2011 prétendument faux, on relèvera qu’il est très probable que les prévenus ne disposent plus du même ordinateur qu’en 2011 et que la pièce en question – si tant est qu’elle ait existé – ait pu être effacée de ces ordinateurs, voire créée sur n’importe quel autre ordinateur. De ce point de vue, il est regrettable que le recourant ait attendu plus d’une année entre le moment où il a constaté</w:t>
      </w:r>
    </w:p>
    <w:p>
      <w:r>
        <w:t>- 11 - la production en justice d’un document prétendument faux et le dépôt de sa plainte. Les prévenus étant domiciliés à l’étranger, ces mesures de contrainte devraient être ordonnées par le biais d’une nouvelle demande d’entraide judiciaire internationale. Au vu des très faibles chances de succès, de telles mesures paraissent toutefois disproportionnées. On ne voit pas non plus très bien ce que pourrait apporter la production, par les prévenus, de l’intégralité des courriels échangés avec le recourant au cours de l’année 2011, dans le but de « voir quelle adresse [ce dernier] utilisait au cours de cette année ». Le fait que le plaignant ait de manière régulière utilisé une autre adresse électronique que celle qui est litigieuse ne signifie en effet pas qu’il n’ait pas pu utiliser cette dernière à une reprise, étant rappelé qu’il n’est pas possible de déterminer quand ladite adresse électronique aurait été supprimée. Par ailleurs, en ce qui concerne les objectifs du recourant visant à identifier les propriétés du courriel contesté (adresse IP de l’émetteur, date d’impression, date de réception, date de transfert), à accéder à la boite email contenant le courriel contesté, à identifier sur quelle boite email a été reçu le courriel contesté, à identifier à qui appartient cette boite email et à identifier à quelle date ce courriel contesté a été imprimé, respectivement transmis et à qui, le séquestre ou la perquisition des ordinateurs des prévenus ne paraît ni nécessaire, ni apte à l’atteindre. En effet, le courriel litigieux ayant été reçu à l’adresse [...], il faudrait, pour en extraire les propriétés, accéder à cette boîte électronique, ce qui peut être fait par le titulaire de cette boîte mail. Dans ces conditions, le recourant n’établit pas ni ne rend vraisemblable que l’appréciation anticipée de la preuve tendant à la perquisition, au dépôt et à la mise sous séquestre des ordinateurs des prévenus serait entachée d’arbitraire. Mal fondé, ce grief doit être rejeté. Il en va autrement s’agissant de l’audition des prévenus. Certes, à l’aune du courrier de F.________ du 10 novembre 2024, il apparait que ce dernier conteste les dires du plaignant. Contrairement à ce qu’a retenu le Ministère public, on ne saurait pour autant en déduire que l’issue</w:t>
      </w:r>
    </w:p>
    <w:p>
      <w:r>
        <w:t>- 12 - des auditions est certaine, ce d’autant plus que M.________ ne s’est pour l’heure pas exprimée. C’est ainsi à tort que le Parquet a classé la procédure sans procéder à l’audition des prévenus. Le recours doit dès lors être admis et le dossier de la cause retourné au Ministère public pour qu’il procède à l’audition des prévenus par la voie de l’entraide judiciaire internationale, après avoir recueilli les questions que le plaignant souhaite leur soumettre. Par la même occasion, il s’agira de demander au prévenu de se connecter à son adresse email [...] afin de vérifier que le courriel litigieux a bien été envoyé à celle-ci et d’en examiner les propriétés (date et heure d’envoi, adresse IP de l’expéditeur, etc.).</w:t>
      </w:r>
    </w:p>
    <w:p>
      <w:r>
        <w:rPr>
          <w:b/>
        </w:rPr>
        <w:t>E. 3</w:t>
      </w:r>
    </w:p>
    <w:p>
      <w:r>
        <w:t>En définitive, le recours est admis, l’ordonnance querellée annulée et le dossier de la cause renvoyé au Ministère public pour qu’il procède dans le sens des considérants qui précèdent. Les frais de la procédure, constitués en l’espèce du seul émolument d'arrêt, par 1’320 fr. (art. 20 al. 1 TFIP [tarif des frais de procédure et indemnités en matière pénale du 28 septembre 2010 ; BLV 312.03.1]), seront mis à la charge de F.________, qui succombe puisqu’il a conclu au rejet du recours (art. 428 al. 1 CPP). Le montant de 770 fr. versé par le recourant à titre de sûretés sera restitué à ce dernier (art. 7 TFIP). Le recourant, qui a procédé avec l’assistance d’un conseil de choix et qui a obtenu gain de cause, a droit à une indemnité pour les dépenses occasionnées par la procédure de recours (art. 433 al. 1 let. a CPP, applicable par renvoi de l’art. 436 al. 1 CPP). Il a conclu à l’allocation d’une indemnité de 4'561 fr. 82, correspondant à 10h24 d’activité d’avocat breveté à des tarifs horaires variant, selon les collaborateurs, entre 400 et 500 francs. Ces tarifs horaires sont trop élevés, eu égard à l’art. 26a TFIP et à la jurisprudence du Tribunal fédéral (TF 7B_35/2022 du 22 février 2024, JdT 2024 III 61). Il sera retenu un tarif horaire de 300 fr., la cause ne présentant pas de difficultés particulières. Pour le reste, la durée d’activité est adéquate. L’indemnité nette sera ainsi fixée à 3’120 fr., montant auquel il convient d’ajouter des débours forfaitaires à concurrence de 2 % des honoraires admis (art. 19 al. 2 TDC [tarif des</w:t>
      </w:r>
    </w:p>
    <w:p>
      <w:r>
        <w:t>- 13 - dépens en matière civile du 23 novembre 2010 ; BLV 270.11.6], applicable par renvoi de l’art. 26a al. 6 TFIP), par 62 fr. 40, plus la TVA au taux de 8,1 %, par 257 fr. 80. L’indemnité totale s’élève ainsi à 3’441 fr. en chiffres arrondis. Cette indemnité sera mise à la charge de F.________, conformément au principe de la succombance applicable tant aux frais qu’aux indemnités dans la procédure de recours (TF 6B_265/2016 du 1er juin 2016 consid. 2.3 et 2.4). Par ces motifs, la Chambre des recours pénale prononce : I. Le recours est admis. II. L’ordonnance du 4 décembre 2024 est annulée. III. Le dossier de la cause est renvoyé au Ministère public de l’arrondissement de Lausanne pour qu’il procède dans le sens des considérants. IV. Une indemnité de 3’441 fr. (trois mille quatre cent quarante et un francs) est allouée à X.________ pour la procédure de recours, à la charge de F.________. V. Les frais d’arrêt, par 1’320 fr. (mille trois cent vingt francs), sont mis à la charge de F.________. VI. Le montant de 770 fr. (sept cent septante francs) versé par X.________ à titre de sûretés lui est restitué. VII. L’arrêt est exécutoire. Le président : La greffière :</w:t>
      </w:r>
    </w:p>
    <w:p>
      <w:r>
        <w:t>- 14 - Du Le présent arrêt, dont la rédaction a été approuvée à huis clos, est notifié, par l'envoi d'une copie complète, à : - Me Malek Adjadj, avocat (pour X.________), - M. F.________, - Mme M.________,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