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PE23.018498 vom 4. Oktober 2024</w:t>
      </w:r>
    </w:p>
    <w:p>
      <w:r>
        <w:t>VD Tribunal cantonal, 2024-10-04, FR</w:t>
      </w:r>
    </w:p>
    <w:p>
      <w:r>
        <w:rPr>
          <w:b/>
        </w:rPr>
        <w:t xml:space="preserve">Quelle: </w:t>
      </w:r>
      <w:r>
        <w:t>https://mcp.opencaselaw.ch/entscheid/vd_gerichte_PE23.018498</w:t>
      </w:r>
    </w:p>
    <w:p>
      <w:r>
        <w:t>FR: VD_GERICHTE PE23.018498 du 4 octobre 2024</w:t>
      </w:r>
    </w:p>
    <w:p>
      <w:r>
        <w:t>IT: VD_GERICHTE PE23.018498 del 4 ottobre 2024</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une partie plaignante qui a qualité pour recourir (art. 382 al. 1 CPP), le recours de K.________ est recevable sous réserve de ce qui sera exposé ci- dessous (cf. consid. 2.2).</w:t>
      </w:r>
    </w:p>
    <w:p>
      <w:r>
        <w:t>- 8 - Interjeté dans le délai légal et dans les formes prescrites (art. 385 al. 1 CPP) auprès de l’autorité compétente par une partie plaignante qui a qualité pour recourir, le recours de F.________ est recevable.</w:t>
      </w:r>
    </w:p>
    <w:p>
      <w:r>
        <w:rPr>
          <w:b/>
        </w:rPr>
        <w:t>E. 1.3</w:t>
      </w:r>
    </w:p>
    <w:p>
      <w:r>
        <w:t>Les recours portant sur un complexe de faits connexe, il y a lieu de joindre les deux procédures (art. 30 CPP). Recours de K.________</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et les références citées).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w:t>
      </w:r>
    </w:p>
    <w:p>
      <w:r>
        <w:t>- 9 - question.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7B_587/2023 précité consid. 2.2.1 et les références citées).</w:t>
      </w:r>
    </w:p>
    <w:p>
      <w:r>
        <w:rPr>
          <w:b/>
        </w:rPr>
        <w:t>E. 2.2</w:t>
      </w:r>
    </w:p>
    <w:p>
      <w:r>
        <w:t>En l’espèce, la recourante se plaint du classement de la procédure en ce qu’elle concerne les infractions de diffamation et de calomnie. On ne discerne cependant dans l’acte de recours aucune motivation à ce propos. En page 7, la recourante soutient que le procureur aurait retenu à tort qu’il n’y avait pas de soupçons suffisants laissant présumer qu’une infraction avait été commise mais n’expose pas en quoi tel serait le cas. En page 9, elle affirme que l’audition de certains de ses anciens collègues ainsi que la production de pièces pourraient « apporter les preuves manquantes », sans toutefois expliquer ce que ces mesures d’instruction pourraient apporter de façon concrète. En page 10, elle répète les reproches qu’elle fait aux prévenus et conclut que les accusations qu’ils ont proférées sont de nature à porter atteinte à son honneur. Cela étant, elle n’expose jamais en quoi la motivation du procureur, pourtant détaillée, serait erronée. Les exigences de l’art. 385 al. 1 CPP en matière de motivation du recours ne sont ainsi pas remplies. Il n’y a pas lieu d’octroyer à la recourante un délai supplémentaire au sens de l’art. 385 al. 2 CPP, cette disposition n’ayant pas pour but de permettre de pallier un défaut de motivation, qui plus est s’agissant d’une partie représentée par un avocat. Le recours est donc irrecevable dans la mesure où il porte sur les infractions de diffamation et de calomnie.</w:t>
      </w:r>
    </w:p>
    <w:p>
      <w:r>
        <w:rPr>
          <w:b/>
        </w:rPr>
        <w:t>E. 3.1</w:t>
      </w:r>
    </w:p>
    <w:p>
      <w:r>
        <w:t>La recourante conteste également le classement de la procédure en ce qu’elle concerne l’infraction d’injure. Elle invoque une</w:t>
      </w:r>
    </w:p>
    <w:p>
      <w:r>
        <w:t>- 10 - violation du principe in dubio pro duriore. Elle relève qu’O.________ a reconnu l’avoir traitée de « fouteuse de merde » et conteste qu’il puisse être mis au bénéfice de faits justificatifs et de preuves libératoires. Elle soutient à ce titre que les problèmes qu’elle aurait causé à l’entreprise datent, aux dires du prévenu lui-même, du début de l’année 2023, de sorte que l’injure ne peut être considérée comme une réaction immédiate auxdits problèmes.</w:t>
      </w:r>
    </w:p>
    <w:p>
      <w:r>
        <w:rPr>
          <w:b/>
        </w:rPr>
        <w:t>E. 3.2.1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w:t>
      </w:r>
    </w:p>
    <w:p>
      <w:r>
        <w:t>- 11 - mais au juge matériellement compétent qu'il appartient de se prononcer (ATF 146 IV 68 consid. 2.1 s. ; ATF 143 IV 241 consid. 2.2.1 ; TF 7B_630/2023 du 20 août 2024 consid. 3.2.1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31 août 2024/444 consid. 2.2.1).</w:t>
      </w:r>
    </w:p>
    <w:p>
      <w:r>
        <w:rPr>
          <w:b/>
        </w:rPr>
        <w:t>E. 3.2.2</w:t>
      </w:r>
    </w:p>
    <w:p>
      <w:r>
        <w:t>Se rend coupable d'injure quiconque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 2.1.3). Les mêmes termes n'ont donc pas</w:t>
      </w:r>
    </w:p>
    <w:p>
      <w:r>
        <w:t>- 12 - nécessairement la même portée suivant le contexte dans lequel ils sont employés (ATF 118 IV 248 consid. 2b ; TF 6B_1052/2023 du 4 mars 2024 consid. 1.1 et les références citées). L'art.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 en tout autre comportement blâmable (ATF 117 IV 270 consid. 2c). La notion d'immédiateté doit être comprise comme une notion de temps dans le sens que l'auteur doit avoir agi sous le coup de l'émotion provoquée par la conduite répréhensible de l'injurié, sans avoir eu le temps de réfléchir tranquillement (ATF 83 IV 151 ; TF 6B_1052/2023 précité consid. 1.3.1 et les références citées). La doctrine et la jurisprudence citent comme exemples de comportements répréhensibles la chasse dans une réserve de chasse (ATF 117 IV 270 consid. 2d), une conduite grossière en public (ATF 117 IV 270 consid. 2c ; ATF 83 IV 151), le dénigrement de l'ancienne maîtresse sous prétexte de préserver les intérêts de l'enfant (ATF 74 IV 98), des reproches injustifiés (Riklin, in Niggli/Wiprächtiger [éd.], Basler Kommentar, Strafrecht I, 4e éd., Bâle 2019, n°23 ad art. 177 CPP et la référence citée) ou un stationnement gênant (Riklin, in Niggli/Wiprächtiger [éd.], op. cit., n° 23 ad art. 177 CPP et la référence citée ; Trechsel/Lehmkuhl in : Trechesel/Pieth [éd.], Schweizerisches Strafgesetzbuch, Praxiskommentar, 4e éd. Zurich/St-Gall 2021, n° 7 ad art. 177).</w:t>
      </w:r>
    </w:p>
    <w:p>
      <w:r>
        <w:rPr>
          <w:b/>
        </w:rPr>
        <w:t>E. 3.3</w:t>
      </w:r>
    </w:p>
    <w:p>
      <w:r>
        <w:t>En l’espèce, les termes « fouteuse de merde » apparaissent bien être constitutifs d’injure. Cependant, s’agissant des preuves libératoires, la recourante omet de préciser que le Ministère public a retenu que les propos en question ont été tenus après une dispute verbale qui l’a opposée, ainsi que son père (qui n’était pas employé de M.________ SA mais était pourtant présent dans l’entreprise), à O.________. Le Ministère public a également retenu que le jour de la dispute, la recourante s’était vantée d’avoir conclu un contrat important lui</w:t>
      </w:r>
    </w:p>
    <w:p>
      <w:r>
        <w:t>- 13 - permettant de toucher une commission élevée, ce qui avait généré des tensions avec les autres vendeurs. La recourante n’ayant pas contesté ces éléments, il apparaît que le prévenu bénéficiait bien de faits justificatifs et de preuves libératoires. Le grief doit ainsi être rejeté. Recours de F.________</w:t>
      </w:r>
    </w:p>
    <w:p>
      <w:r>
        <w:rPr>
          <w:b/>
        </w:rPr>
        <w:t>E. 4.1</w:t>
      </w:r>
    </w:p>
    <w:p>
      <w:r>
        <w:t>Le recourant invoque une violation du principe in dubio pro duriore en lien avec l’infraction de diffamation. Selon lui, on ignore ce qu’O.________ a dit à [...] ainsi qu’à [...], mais ils auraient compris que le recourant était en prison ou du moins qu’il avait des problèmes avec la police, ce qui a jeté sur lui le soupçon d’une conduite ou d’un fait propre à porter atteinte à son honneur. Il reproche au Ministère public de s’être fondé uniquement sur ses déclarations ainsi que celles des prévenus pour retenir que les preuves d’une atteinte à son honneur n’étaient pas suffisantes. Les interrogatoires d’autres employés, notamment [...] et [...] pourraient, selon lui, apporter les preuves manquantes.</w:t>
      </w:r>
    </w:p>
    <w:p>
      <w:r>
        <w:rPr>
          <w:b/>
        </w:rPr>
        <w:t>E. 4.2.1</w:t>
      </w:r>
    </w:p>
    <w:p>
      <w:r>
        <w:t>Les principes s’agissant du classement d’une procédure ont été rappelés au considérant 3.2.1 ci-dessus.</w:t>
      </w:r>
    </w:p>
    <w:p>
      <w:r>
        <w:rPr>
          <w:b/>
        </w:rPr>
        <w:t>E. 4.2.2</w:t>
      </w:r>
    </w:p>
    <w:p>
      <w:r>
        <w:t>En application de l’art. 173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- 14 -</w:t>
      </w:r>
    </w:p>
    <w:p>
      <w:r>
        <w:rPr>
          <w:b/>
        </w:rPr>
        <w:t>E. 4.3</w:t>
      </w:r>
    </w:p>
    <w:p>
      <w:r>
        <w:t>En l’espèce, comme l’a retenu le Ministère public, le prévenu a lui-même contesté avoir parlé à quiconque de l’audition du recourant par la Gendarmerie française et a déclaré que [...] avait reconnu avoir vu la convocation sur son bureau à son insu. Le prévenu a également déclaré avoir organisé une réunion avec Davide Grassi et le recourant afin d’éclaircir la situation, mais que le recourant ne s’y était pas présenté (PV aud. 2, R. 18). Il n’y aurait au demeurant pas d’intérêt à faire entendre [...] ou [...], le recourant ne contestant pas avoir été entendu par la Gendarmerie. L’information que le prévenu est accusé d’avoir divulguée par le recourant est ainsi conforme à la vérité et le recourant ne soutient pas que le prévenu aurait agi dans le dessein de dire du mal à son sujet. Ainsi, le prévenu serait dans tous les cas en mesure d’apporter la preuve de la vérité. Le grief doit donc être rejeté. Assistance judiciaire et frais</w:t>
      </w:r>
    </w:p>
    <w:p>
      <w:r>
        <w:rPr>
          <w:b/>
        </w:rPr>
        <w:t>E. 5.1</w:t>
      </w:r>
    </w:p>
    <w:p>
      <w:r>
        <w:t>Les recourants ont tous deux requis d’être mis au bénéfice de l’assistance judiciaire ainsi que la désignation en leur faveur de Me Aba Neeman en qualité de conseil juridique gratuit. Ils invoquent que leurs situations financières respectives sont obérées, que la cause présente des difficultés suffisantes pour justifier l’intervention d’un conseil professionnel, que leurs recours présentent des chances de succès et que la présente procédure peut avoir des conséquences sur les procédures qu’ils ont tous deux intentées devant le Tribunal des Prud’hommes en lien avec leur licenciement de M.________ SA. Ils soutiennent encore que, les prévenus étant assistés d’un défenseur, il y a lieu qu’ils puissent également être assistés d’un avocat par égalité des armes.</w:t>
      </w:r>
    </w:p>
    <w:p>
      <w:r>
        <w:rPr>
          <w:b/>
        </w:rPr>
        <w:t>E. 5.2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w:t>
      </w:r>
    </w:p>
    <w:p>
      <w:r>
        <w:t>- 15 - L'art. 136 CPP concrétise les conditions d'octroi de l'assistance judiciaire pour la partie plaignante dans un procès pénal (TF 1B_317/2021 du 9 décembre 2021 ; TF 1B_119/2021 du 22 juillet 2021 consid. 2.1). La direction de la procédure accorde entièrement ou partiellement l’assistance judiciaire gratuite à la partie plaignante, pour faire valoir ses prétentions civiles, si elle ne dispose pas de ressources suffisantes et que l’action civile ne paraît pas vouée à l’échec (art. 136 al. 1 let. a CPP).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L’art. 136 CPP concerne toutefois spécifiquement les conclusions civiles (TF 7B_45/2023 du 29 mai 2024 consid. 2.1.3 et les références citées). Au regard de la teneur de l'art. 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pp. 1057 ss, spéc. 1160 ch. 2.3.4.3 ; TF 7B_45/2023 précité consid. 2.1.3 et les références citées).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la procédure pénale ne nécessite en principe que des</w:t>
      </w:r>
    </w:p>
    <w:p>
      <w:r>
        <w:t>- 16 -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(ATF 123 I 145 consid. 2b/bb ; TF 7B_45/2023 précité consid. 2.1.4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 TF 7B_45/2023 précité consid. 2.1.4 et les références citées).</w:t>
      </w:r>
    </w:p>
    <w:p>
      <w:r>
        <w:rPr>
          <w:b/>
        </w:rPr>
        <w:t>E. 5.3</w:t>
      </w:r>
    </w:p>
    <w:p>
      <w:r>
        <w:t>En l’espèce, les recours étaient d’emblée dénués de toute chance de succès. En outre, les faits dénoncés ne revêtent aucune complexité particulière, que ce soit sur le plan juridique ou factuel. Le fait que des procédures soient en cours auprès des autorités prud’hommales est sans conséquence.</w:t>
      </w:r>
    </w:p>
    <w:p>
      <w:r>
        <w:rPr>
          <w:b/>
        </w:rPr>
        <w:t>E. 6</w:t>
      </w:r>
    </w:p>
    <w:p>
      <w:r>
        <w:t>Au vu de ce qui précède, le recours de K.________ doit être rejeté dans la mesure où il est recevable, le recours de F.________ doit être rejeté et l’ordonnance entreprise doit être confirmée. Les requêtes d’assistance judiciaire de K.________ et F.________ doivent en outre être rejetées. Les frais de la procédure de recours, constitués en l’espèce du seul émolument d’arrêt (art. 422 al. 1 CPP), par 1’760 fr. (art. 20 al. 1 TFIP [tarif des frais de procédure et indemnités en matière pénale du 28 septembre 2010 ; BLV 312.03.1]), seront mis à la charge des recourants, qui succombent (art. 428 al. 1 CPP), à raison de deux tiers pour K.________,</w:t>
      </w:r>
    </w:p>
    <w:p>
      <w:r>
        <w:t>- 17 - dont la contestation porte sur davantage d’infractions, soit 1'173 fr. 35, et d’un tiers pour F.________, soit 586 fr. 65. Par ces motifs, la Chambre des recours pénale prononce : I. Le recours de K.________ est rejeté dans la mesure où il est recevable. II. Le recours de F.________ est rejeté. III. L’ordonnance du 29 août 2024 est confirmée. IV. La requête d’assistance judiciaire de K.________ est rejetée. V. La requête d’assistance judiciaire de F.________ est rejetée. VI. Les frais d’arrêt, par 1’760 fr. (mille sept cent soixante francs), sont mis à la charge de K.________ par 1’173 fr. 35 (mille cent septante-trois francs et trente-cinq centimes) et de F.________ par 586 fr. 65 (cinq cent huitante-six francs et soixante-cinq centimes). VII. L’arrêt est exécutoire. Le président : Le greffier : Du Le présent arrêt, dont la rédaction a été approuvée à huis clos, est notifié, par l'envoi d'une copie complète, à : - Me Aba Neeman, avocat (pour K.________ et F.________), - Me Gandy Despinasse, avocat (pour O.________ et I.________), - Ministère public central,</w:t>
      </w:r>
    </w:p>
    <w:p>
      <w:r>
        <w:t>- 18 -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