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PE23.018344 vom 4. März 2024</w:t>
      </w:r>
    </w:p>
    <w:p>
      <w:r>
        <w:t>VD Tribunal cantonal, 2024-03-04, FR</w:t>
      </w:r>
    </w:p>
    <w:p>
      <w:r>
        <w:rPr>
          <w:b/>
        </w:rPr>
        <w:t xml:space="preserve">Quelle: </w:t>
      </w:r>
      <w:r>
        <w:t>https://mcp.opencaselaw.ch/entscheid/vd_gerichte_PE23.018344</w:t>
      </w:r>
    </w:p>
    <w:p>
      <w:r>
        <w:t>FR: VD_GERICHTE PE23.018344 du 4 mars 2024</w:t>
      </w:r>
    </w:p>
    <w:p>
      <w:r>
        <w:t>IT: VD_GERICHTE PE23.018344 del 4 marzo 2024</w:t>
      </w:r>
    </w:p>
    <w:p>
      <w:pPr>
        <w:pStyle w:val="Heading2"/>
      </w:pPr>
      <w:r>
        <w:t>Erwägungen</w:t>
      </w:r>
    </w:p>
    <w:p>
      <w:r>
        <w:rPr>
          <w:b/>
        </w:rPr>
        <w:t>E. 4</w:t>
      </w:r>
    </w:p>
    <w:p>
      <w:r>
        <w:t>La répartition de la charge fiscale en rapport avec les dénonciations spontanées P.________ reproche, toujours s’agissant des deux trusts déclarés finalement au fisc, la répartition de la charge fiscale (2/3 – 1/3) qu’il juge inéquitable (cf. let. Aa ch. 9 ci-dessus). Il ressort toutefois des pièces au dossier que le recourant, s’il n’était pas opposé à la déclaration spontanée, n'en conteste que la quotité. Quoi qu'il en soit, la répartition proposée par le notaire [...] ne saurait constituer une infraction pénale. Il s'agit d'une réclamation purement civile, de sorte que le moyen tombe à faux.</w:t>
      </w:r>
    </w:p>
    <w:p>
      <w:r>
        <w:t>- 24 - Restent à examiner les griefs en lien avec la succession de D.S.________, à savoir la question de la contrevaleur des actions des immeubles [...] (let. Aa ch. 3.2 ci-dessus), les retraits opérés par D.S.________ sur ses comptes UBS et BCV entre 2006 et 2017, la dispense de rapport qu'elle a signée le 11 octobre 2017 (cf. let. Aa ch. 10 ci-dessus) et les lettres de vœux (cf. let. Ab p.10 ci-dessus).</w:t>
      </w:r>
    </w:p>
    <w:p>
      <w:r>
        <w:rPr>
          <w:b/>
        </w:rPr>
        <w:t>E. 5</w:t>
      </w:r>
    </w:p>
    <w:p>
      <w:r>
        <w:t>La gestion des fonds issus de la vente des actions de la société immobilière M.________, les entrées et sorties de fonds des comptes bancaires peu avant le décès de D.S.________ et la dispense de rapport du 11 octobre 2017</w:t>
      </w:r>
    </w:p>
    <w:p>
      <w:r>
        <w:rPr>
          <w:b/>
        </w:rPr>
        <w:t>E. 5.1</w:t>
      </w:r>
    </w:p>
    <w:p>
      <w:r>
        <w:t>Le recourant fait grief à B.S.________ de ne pas disposer de la documentation nécessaire à la bonne compréhension de la gestion des fonds issus de la vente des actions de la société immobilière M.________. Il soutient que le détail des opérations menées par sa tante sont inconnus. S’agissant encore des entrées et sorties de fonds des comptes bancaires peu avant le décès de D.S.________, il critique l’appréciation de la procureure selon laquelle il n’établirait pas que les sorties de fonds des comptes de A.S.________ seraient le résultat de manœuvres frauduleuses, dans la mesure où ces comptes faisaient partie de la succession non partagée de A.S.________ et que de telles opérations auraient dû se faire avec l’accord de toutes les héritières, ce qui, compte tenu des rapports désastreux qu'entretenaient C.S.________ et D.S.________ paraissait impossible. Cela contribuerait à démontrer que l’état de fait n’était pas limpide, imposant au Ministère public d’ordonner des mesures d’instruction. Quant à la dispense de rapport signée par D.S.________ le 11 octobre 2017, le recourant considère que l’état de santé de sa grand-mère ne lui permettait pas de signer un tel acte, qu’elle n’avait en outre jamais fait mention de cette donation dans son testament de 2014 ou dans son codicille authentique de 2016 alors qu’elle était en meilleure santé. Par ailleurs ce document a été rédigé à l’ordinateur et n’a donc pas pu être établi par ses soins.</w:t>
      </w:r>
    </w:p>
    <w:p>
      <w:r>
        <w:t>- 25 - Enfin, il considère que les procédures de dénonciation spontanée constitueraient un ultime acte de régularisation de l’édifice de mensonges créé par B.S.________ afin de se procurer à elle et à ses enfants, un avantage pécuniaire au détriment des autres héritiers de A.S.________.</w:t>
      </w:r>
    </w:p>
    <w:p>
      <w:r>
        <w:rPr>
          <w:b/>
        </w:rPr>
        <w:t>E. 5.2</w:t>
      </w:r>
    </w:p>
    <w:p>
      <w:r>
        <w:t>A teneur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 Petit Commentaire du Code pénal, 2e éd., Bâle 2017, nn. 11 ss ad art. 146 CP et les réf.).</w:t>
      </w:r>
    </w:p>
    <w:p>
      <w:r>
        <w:t>- 26 -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 ; ATF 115 IV 32 consid. 3a ; Corboz, Les infractions en droit suisse, vol. I, 3e éd., Berne 2010, nn. 31 et 38 ad art. 146 CP ; Dupuis et al., op. cit., n. 32 ad art. 146 CP).</w:t>
      </w:r>
    </w:p>
    <w:p>
      <w:r>
        <w:rPr>
          <w:b/>
        </w:rPr>
        <w:t>E. 5.3</w:t>
      </w:r>
    </w:p>
    <w:p>
      <w:r>
        <w:t>Le recourant considère de manière générale que B.S.________ aurait orienté sa mère D.S.________ en usant de son influence pour lui faire prendre des décisions et signer des documents. S’agissant des immeubles [...], le recourant procède à une comparaison de la valeur fiscale des immeubles avec les montants en compte pour arriver à la conclusion qu’il manquerait 612'528 fr. 45. La valeur fiscale de l'immeuble en cause, outre qu'elle est une valeur théorique, à laquelle le recourant se réfère, date de 2015, soit près de sept ans après la vente par D.S.________ de septante actions de la société M.________. Il n'indique pas que cette valeur aurait été la même en 2008. Quoi qu'il en soit, D.S.________ était seule propriétaire des actions et de la contrevaleur de la vente de celles-ci et pouvait, de son vivant, en disposer à sa guise. Les soupçons avancés par le recourant ne permettent pas en l'état de considérer que D.S.________ ait porté atteinte à son patrimoine sous l'influence de B.S.________, la démonstration que ledit patrimoine ait même été atteint faisant défaut. Ainsi, avec le ministère public, il faut arriver à la conclusion qu'outre le fait que ces deux valeurs ne sont pas comparables, aucun indice d’une malversation quelconque ne peut être décelé. Quant aux retraits opérés entre 2006 et 2017 par D.S.________ sur les comptes UBS et BCV dont elle était seule titulaire, comptes sur lesquels B.S.________ n’avait pas de procuration, il n’existe aucun indice concret que D.S.________, même atteinte de cécité, n’avait pas son discernement, ce d’autant que le recourant ne démontre pas que son état</w:t>
      </w:r>
    </w:p>
    <w:p>
      <w:r>
        <w:t>- 27 - physique ait été le même entre 2006 et 2017. Le moyen est ici aussi mal fondé. Enfin, la dispense de rapport concerne tous les héritiers et pas seulement B.S.________, même si cette dernière est plus spécifiquement nommée en relation avec la Y.________; le fait qu'elle ait été rédigée par ordinateur ne permet pas de considérer que cela ne refléterait pas sa volonté, aucun indice ne semblant aller dans ce sens. Pour être complète, la Chambre de céans rappellera, s'agissant des lettres de vœux de D.S.________ vis-à-vis de B.T.________ et A.T.________, que rien au dossier ne laisse penser que B.S.________ aurait exercé une quelconque influence sur D.S.________ pour modifier leur contenu. Le rôle de B.S.________ s'est manifestement limité à transmettre ces lettres à [...], respectivement à Me [...]. Le fait que D.S.________ ait choisi de signer, le 16 novembre 2017, deux nouvelles lettres de vœux concernant B.T.________ et une nouvelle lettre de vœux concernant A.T.________ (P. 5/95 et P. 5/96), dont seule celle relative à ce dernier trust a été transmises aux trustees, relève du pouvoir de décision de D.S.________, conseillée par Me [...] à qui ces trois nouvelles lettres de vœux ont été transmises le 23 novembre 2017 (P. 5/97). Le recourant ne fait été d'aucun indice selon lequel B.S.________ aurait exercé une influence délictueuse sur D.S.________ pour modifier le contenu de ces nouvelles lettres de vœux, de sorte qu'aucun comportement pénalement répréhensible ne peut lui être reproché dans ce cadre. De manière générale, la consultation des pièces du dossier et en particulier des correspondances entre B.S.________ et sa sœur C.S.________ tendent à démontrer que, malgré les différends, la première tentait de tenir au courant la seconde. Le litige ayant une nature purement civile successorale, c'est à bon droit que la procureure a refusé d'entrer en matière.</w:t>
      </w:r>
    </w:p>
    <w:p>
      <w:r>
        <w:t>- 28 -</w:t>
      </w:r>
    </w:p>
    <w:p>
      <w:r>
        <w:rPr>
          <w:b/>
        </w:rPr>
        <w:t>E. 6</w:t>
      </w:r>
    </w:p>
    <w:p>
      <w:r>
        <w:t>En définitive, le recours mal fondé doit être rejeté dans la mesure où il est recevable sans échange d'écritures (art. 390 al. 2 CPP) et l’ordonnance attaquée confirmée. Les frais de la procédure de recours, constitués du seul émolument d’arrêt, par 2'860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rejeté dans la mesure où il est recevable. II. L’ordonnance du 8 janvier 2024 est confirmée. III. Les frais d’arrêt, par 2'860 fr. (deux mille huit cent soixante francs), sont mis à la charge de P.________. IV. Le montant de 550 fr. (cinq cent cinquante francs) déjà versé par P.________ à titre de sûretés est imputé sur les frais mis à sa charge au chiffre III ci-dessus, le solde dû par lui s’élevant à 2'310 fr. (deux mille trois cent dix francs). V. L’arrêt est exécutoire. Le président : La greffière : Du Le présent arrêt, dont la rédaction a été approuvée à huis clos, est notifié, par l'envoi d'une copie complète, à : - Me Patrick Michod, avocat (pour P.________), - Ministère public central,</w:t>
      </w:r>
    </w:p>
    <w:p>
      <w:r>
        <w:t>- 29 -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