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PE23.018172 vom 25. April 2024</w:t>
      </w:r>
    </w:p>
    <w:p>
      <w:r>
        <w:t>VD Tribunal cantonal, 2024-04-25, FR</w:t>
      </w:r>
    </w:p>
    <w:p>
      <w:r>
        <w:rPr>
          <w:b/>
        </w:rPr>
        <w:t xml:space="preserve">Quelle: </w:t>
      </w:r>
      <w:r>
        <w:t>https://mcp.opencaselaw.ch/entscheid/vd_gerichte_PE23.018172</w:t>
      </w:r>
    </w:p>
    <w:p>
      <w:r>
        <w:t>FR: VD_GERICHTE PE23.018172 du 25 avril 2024</w:t>
      </w:r>
    </w:p>
    <w:p>
      <w:r>
        <w:t>IT: VD_GERICHTE PE23.018172 del 25 aprile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les parties plaignantes qui ont qualité pour recourir (art. 382 al. 1 CPP) et satisfaisant aux exigences de forme prescrites (art. 385 al. 1 CPP), le recours est recevable.</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w:t>
      </w:r>
    </w:p>
    <w:p>
      <w:r>
        <w:t>- 5 -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Les recourants font en substance valoir que les intimés étaient conscients de l’existence d’une limite entre leurs deux fonds et du franchissement nécessaire de celle-ci par les ouvriers lors des travaux qui leur ont été confiés et que cela ne les aurait pas empêchés d’effectuer des travaux en leur absence et d’endommager irrémédiablement leur haie, leur clôture métallique ainsi que le fil de leur tondeuse à gazon. Ils arguent que l’expertise du géomètre à laquelle les intimés font référence est contestée et que les ouvriers auraient quoi qu’il en soit pénétré sans droit sur leur terrain pour procéder à l’arrachage litigieux et auraient récidivé lors de l’installation de la nouvelle clôture. Ainsi, au vu de la configuration des lieux, il ne pourrait être exclu que les intimés aient sciemment</w:t>
      </w:r>
    </w:p>
    <w:p>
      <w:r>
        <w:t>- 4 - envoyés des ouvriers effectuer des travaux dans le jardin des recourants ou qu’ils se soient à tout le moins accommodés que ceux-ci pénètrent sur leur fond alors qu’ils avaient conscience que les recourants s’y opposaient. Il ne pourrait ainsi être exclu que le comportement des intimés – voire des ouvriers – soit constitutif des infractions de violation de domicile et de dommages à la propriété.</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Aux termes de l’art. 144 al. 1 CP (Code pénal suisse du 21 décembre 1937 ; RS 311.0) – dans sa teneur en vigueur depuis le 1er juillet 2023 (RO 2023 p. 259 ; FF 2018 p. 2889), quiconque, sans droit, endommage, détruit ou met hors d’usage une chose appartenant à autrui ou frappée d’un droit d’usage ou d’usufruit au bénéfice d’autrui, est,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consid. 2). L’auteur se rend coupable de dommages à la propriété dès qu’il cause un changement de l’état de la chose qui n’est pas immédiatement réversible sans frais ni effort et qui porte atteinte à un intérêt légitime (ATF 128 IV 250 précité consid. 2 ; TF 6B_120/2018 du 31 juillet 2018 consid. 4.1), par exemple en apposant sur le pare-brise d’une voiture une affiche qui ne peut être que difficilement ôtée, en dégonflant les pneus d’une voiture, en vidant un extincteur qui doit être rechargé pour être de nouveau prêt à fonctionner (ATF 128 IV 250 précité consid. 2) ou encore en salissant l’uniforme d’un fonctionnaire (TF 6B_872/2022 du 1er mars 2023 consid. 3.1 ; TF 6B_348/2012 du 24 octobre 2012 consid. 2.2).</w:t>
      </w:r>
    </w:p>
    <w:p>
      <w:r>
        <w:t>- 6 -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Code pénal, Petit Commentaire, 2e éd., Bâle 2017, n. 16 ad art. 144 CP et les références citées).</w:t>
      </w:r>
    </w:p>
    <w:p>
      <w:r>
        <w:rPr>
          <w:b/>
        </w:rPr>
        <w:t>E. 2.2.3</w:t>
      </w:r>
    </w:p>
    <w:p>
      <w:r>
        <w:t>Se rend coupable de violation de domicile au sens de l’art. 186 CP – dans sa teneur en vigueur depuis le 1er juillet 2023 (RO 2023 p. 259 ; FF 2018 p. 2889) – et sera, sur plainte, puni d’une peine privative de liberté de trois ans au plus ou d’une peine pécuniaire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Les espaces, cours ou jardins clos attenants à une maison sont des surfaces non bâties, mais fermées, peu importe de quelle façon, et rattachées à un bâtiment (Dupuis, op. cit., n. 12 ad art. 186 CP et les références citées). Il n’est pas nécessaire que la clôture soit sans faille et encore moins infranchissable : le critère réside dans le caractère reconnaissable de l’enceinte, délimitée par exemple par un mur, une palissade ou une haie (Stoudmann, in : Macaluso/Moreillon/Queloz [éd.], Commentaire romand, Code pénal II, Bâle 2017, n. 6 ad art. 186 CP et les références citées). L’infraction est intentionnelle. Le dol éventuel suffit.</w:t>
      </w:r>
    </w:p>
    <w:p>
      <w:r>
        <w:rPr>
          <w:b/>
        </w:rPr>
        <w:t>E. 2.2.4</w:t>
      </w:r>
    </w:p>
    <w:p>
      <w:r>
        <w:t>Aux termes de l’art. 12 al. 2 CP, agit intentionnellement quiconque commet un crime ou un délit avec conscience et volonté. L'auteur agit déjà intentionnellement lorsqu'il tient pour possible la réalisation de l'infraction et l'accepte au cas où celle-ci se produirait (ATF 137 IV 1 consid. 4.2.3).</w:t>
      </w:r>
    </w:p>
    <w:p>
      <w:r>
        <w:t>- 7 -</w:t>
      </w:r>
    </w:p>
    <w:p>
      <w:r>
        <w:rPr>
          <w:b/>
        </w:rPr>
        <w:t>E. 2.3</w:t>
      </w:r>
    </w:p>
    <w:p>
      <w:r>
        <w:t>En l’espèce, il ressort du dossier qu’une haie ainsi qu’une clôture métallique située en bordure de la parcelle des recourants et de celle exploitée par P.________ SA ont été enlevées sur ordre de cette dernière, respectivement de B.A.________ ou A.A.________. Dans un courriel adressé au plaignant le 6 août 2023, B.A.________ a toutefois indiqué que les travaux litigieux avaient été effectués après qu’ils avaient mandaté un géomètre qui avait fixé précisément les points GPS délimitant les deux parcelles, que de ce fait, les paysagistes avaient pu vérifier que toutes les haies/barrières se situaient bien sur leur parcelle avant de les enlever et qu’à aucun moment ils n’avaient retiré quoi que ce soit sur la propriété des recourants. Dans un courriel ultérieur adressé à la recourante, il a encore précisé que les points GPS avaient été effectués par un bureau d’ingénieurs brevetés, que les outils utilisés étaient extrêmement précis – la marge d’erreur étant de moins d’un centimètre – et qu’il était donc sûr et certain que les limites indiquées sur les parcelles étaient correctes et qu’elles correspondaient bien à la frontière entre les deux terrains. Il a ajouté qu’en cas de doute, les marqueurs étaient d’ailleurs toujours sur place, qu’il s’agissait des petits piquets en bois, avec une marque de spray orange, le seul emplacement ne correspondant pas aux piquets étant celui tout au nord-est de la parcelle, où la marque de référence était le spray lui-même. Ces éléments suffisent pour exclure toute intention dolosive de la part des intimés, et cela même si le relevé des géomètres mandatés par leurs soins devait être erroné, ce que les recourants n’établissent d’ailleurs nullement. L’infraction de dommages à la propriété pour l’enlèvement de la haie et de la clôture est donc exclue. Il en va de même quant au câble électrique de la tondeuse des recourants, également visé par leur plainte, dans la mesure où ils n’apportent aucun élément susceptible d’établir qu’il aurait été irréversiblement endommagé lors des travaux d’arrachage. S’agissant de la violation de domicile, il n’est tout d’abord pas certain que les ouvriers mandatés par les intimés aient nécessairement dû</w:t>
      </w:r>
    </w:p>
    <w:p>
      <w:r>
        <w:t>- 8 - fouler le terrain des recourants pour effectuer leur travail. En particulier, le fait que le dessouchage des haies ait laissé des traces sur le jardin des recourants en raison de la longueur des racines et que de la terre ait été déposée en bordure de leur terrain lors de l’installation de la nouvelle clôture ne signifie pas nécessairement que les paysagistes aient dû y pénétrer. Quoi qu’il en soit, et dans la mesure où les relevés de géomètre en possession des intimés localisent la haie et la clôture sur leur propre terrain, ces derniers pouvaient légitimement considérer que le jardin des recourants n’était pas clos, ce qui suffit à exclure l’infraction de violation de domicile qui leur est reprochée.</w:t>
      </w:r>
    </w:p>
    <w:p>
      <w:r>
        <w:rPr>
          <w:b/>
        </w:rPr>
        <w:t>E. 3</w:t>
      </w:r>
    </w:p>
    <w:p>
      <w:r>
        <w:t>En définitive, le recours, manifestement mal fondé, doit être rejeté sans échange d’écritures (art. 390 al. 2 CPP), et l’ordonnance entreprise confirmée. Vu l’issue de la cause, les frais de la procédure de recours, constitués en l’espèce du seul émolument d’arrêt (art. 422 al. 1 CPP), par 880 fr. (art. 20 al. 1 TFIP [tarif des frais de procédure et indemnités en matière pénale du 28 septembre 2010 ; BLV 312.03.1]), seront mis à la charge des recourants qui succombent, solidairement entre eux (art. 428 al. 1 CPP). Par ces motifs, la Chambre des recours pénale prononce : I. Le recours est rejeté. II. L’ordonnance du 12 janvier 2024 est confirmée. III. Les frais d’arrêt, par 880 fr. (huit cent huitante francs), sont mis à la charge de D.________ et Z.________, solidairement entre eux.</w:t>
      </w:r>
    </w:p>
    <w:p>
      <w:r>
        <w:t>- 9 - IV. L’arrêt est exécutoire. Le président : La greffière : Du Le présent arrêt, dont la rédaction a été approuvée à huis clos, est notifié, par l'envoi d'une copie complète, à : - Me Julien Lanfranconi, avocat (pour D.________ et Z.________), - Ministère public central, et communiqué à : - M. A.A.________, - M. B.A.________,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