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PE23.018098 vom 4. März 2024</w:t>
      </w:r>
    </w:p>
    <w:p>
      <w:r>
        <w:t>VD Tribunal cantonal, 2024-03-04, FR</w:t>
      </w:r>
    </w:p>
    <w:p>
      <w:r>
        <w:rPr>
          <w:b/>
        </w:rPr>
        <w:t xml:space="preserve">Quelle: </w:t>
      </w:r>
      <w:r>
        <w:t>https://mcp.opencaselaw.ch/entscheid/vd_gerichte_PE23.018098</w:t>
      </w:r>
    </w:p>
    <w:p>
      <w:r>
        <w:t>FR: VD_GERICHTE PE23.018098 du 4 mars 2024</w:t>
      </w:r>
    </w:p>
    <w:p>
      <w:r>
        <w:t>IT: VD_GERICHTE PE23.018098 del 4 marzo 2024</w:t>
      </w:r>
    </w:p>
    <w:p>
      <w:pPr>
        <w:pStyle w:val="Heading2"/>
      </w:pPr>
      <w:r>
        <w:t>Erwägungen</w:t>
      </w:r>
    </w:p>
    <w:p>
      <w:r>
        <w:rPr>
          <w:b/>
        </w:rPr>
        <w:t>E. 1</w:t>
      </w:r>
    </w:p>
    <w:p>
      <w:r>
        <w:t>et 310 al. 1 let. d CPP). L’attention du plaignant est à nouveau attirée sur la possibilité qui lui est faite d’actionner la justice civile pour faire valoir ses prétentions. Au surplus, toutes les futures correspondances et/ou plaintes du plaignant seront dorénavant classées sans suite si elles sont prolixes, inintelligibles, concernant les mêmes faits et ne laissent pas apparaître, après examen sommaire, de sérieux indices de la commission d’une quelconque infraction à son encontre". C. Par acte du 14 décembre 2023, posté le 18 décembre 2023, T.________ a interjeté recours contre cette ordonnance en concluant à son annulation. Il a également demandé un délai de dix jours pour déposer les documents utiles à une demande d'assistance judiciaire. Par courrier du 28 décembre 2023, la direction de la procédure a imparti à T.________ un délai au 17 janvier 2024 pour effectuer un dépôt de 550 fr. à titre de sûretés pour les frais qui pourraient être mis à sa charge en cas de rejet ou d'irrecevabilité du recours. Les 27 décembre 2023 et 16 janvier 2024, T.________ a transmis à la Chambre de céans, par l'intermédiaire de l'ambassade de Suisse en Russie une demande d'assistance judiciaire ainsi qu'un lot de pièces relatives à sa situation financière. Il n'a pas été ordonné d'échange d'écritures. En d roit :</w:t>
      </w:r>
    </w:p>
    <w:p>
      <w:r>
        <w:rPr>
          <w:b/>
        </w:rPr>
        <w:t>E. 1.1</w:t>
      </w:r>
    </w:p>
    <w:p>
      <w:r>
        <w:t>Les parties peuvent attaquer une ordonnance de non- entrée en matière rendue par le Ministère public (art. 310 CPP [Code de procédure pénale suisse du 5 octobre 2007 ; RS 312.0]) dans les dix jours devant l’autorité de recours (art. 310 al. 2, 322 al. 2 CPP ; cf. art. 20</w:t>
      </w:r>
    </w:p>
    <w:p>
      <w:r>
        <w:t>- 6 -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interjeté en temps utile auprès de l’autorité compétente et dans les formes prescrites, par la partie plaignante qui a qualité pour recourir (art. 382 al. 1 CPP), le recours est recevable.</w:t>
      </w:r>
    </w:p>
    <w:p>
      <w:r>
        <w:rPr>
          <w:b/>
        </w:rPr>
        <w:t>E. 2.1</w:t>
      </w:r>
    </w:p>
    <w:p>
      <w:r>
        <w:t>Le recourant se plaint implicitement d'une violation de son droit d'être entendu et du principe in dubio pro duriore, considérant que le Ministère public, malgré ses plaintes pénales, s'obstine à ne pas ouvrir d'instruction. Il reproche également au Ministère public une interprétation erronée des faits dénoncés en déduisant de ses plaintes qu'il reprocherait à Me C.________ d'avoir conservé les fonds, alors qu'en réalité il considère que ces fonds n'ont pas été versés à cet avocat, lequel aurait indûment mentionné son nom dans la convention, et les fonds ayant été versés en main de Me [...].</w:t>
      </w:r>
    </w:p>
    <w:p>
      <w:r>
        <w:rPr>
          <w:b/>
        </w:rPr>
        <w:t>E. 2.2.1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Cette disposition doit être appliquée conformément à l’adage « in dubio pro duriore ». Celui- ci découle du principe de la légalité (art. 5 al. 1 Cst et art. 2 al. 2 CP ; ATF 138 IV 86 consid. 4.2) et signifie qu’en principe une non-entrée en matière ne peut être prononcée par le Ministère public que lorsque la situation est claire sur le plan factuel et juridique. Tel est le cas lorsque les faits visés ne sont manifestement pas punissables, faute, de manière certaine, de</w:t>
      </w:r>
    </w:p>
    <w:p>
      <w:r>
        <w:t>- 7 -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146 IV 68 consid. 2.1 ; ATF 143 IV 241 consid. 2.2.1 ; TF 6B_1177/2022 du 21 février 2023 consid. 2.1).</w:t>
      </w:r>
    </w:p>
    <w:p>
      <w:r>
        <w:rPr>
          <w:b/>
        </w:rPr>
        <w:t>E. 2.2.2</w:t>
      </w:r>
    </w:p>
    <w:p>
      <w:r>
        <w:t>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TF 6B_1053/2017 du 17 mai 2018 consid. 4.1). L'autorité de chose jugée et le principe ne bis in idem supposent qu'il y ait identité de la personne visée et des faits retenus (ATF 125 II 402 consid. 1b ; ATF 120 IV 10 consid. 2b ; TF 6B_279/2018 du 27 juillet 2018 consid. 1.1 et les références citées).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4A_292/2017 du 29 janvier 2018 consid. 3.1 ; TF 6B_1186/2014 du 3 décembre 2015 consid. 4.2 et les références citées). Le principe ne bis in idem est garanti par l'art. 4 par. 1 du Protocole additionnel n° 7 à la CEDH du 22 novembre 1984 (RS 0.101.07), ainsi que par l'art. 14 par. 7 du Pacte ONU II (Pacte international relatif aux</w:t>
      </w:r>
    </w:p>
    <w:p>
      <w:r>
        <w:t>- 8 - droits civils et politiques, conclu à New York le 16 décembre 1966 ; RS 0.103.2). La règle ne bis in idem découle en outre implicitement de la Constitution fédérale (ATF 137 I 363 consid. 2.1). Sous la note marginale « interdiction de la double poursuite », l'art. 11 al. 1 CPP prévoit également qu'aucune personne condamnée ou acquittée en Suisse par un jugement entré en force ne peut pas être poursuivie une nouvelle fois pour la même infraction. L’art. 11 al. 2 CPP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w:t>
      </w:r>
    </w:p>
    <w:p>
      <w:r>
        <w:rPr>
          <w:b/>
        </w:rPr>
        <w:t>E. 2.2.3</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167 consid 4.1 ; ATF 145 I 73 consid. 7.2.2.1 ; TF 6B_559/2023 du 8 novembre 2023 consid. 2.1 ; TF 7B_56/2022 du 20 septembre 2023 consid. 3.2.1).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w:t>
      </w:r>
    </w:p>
    <w:p>
      <w:r>
        <w:t>- 9 - serait incompatible avec l'intérêt de la partie concernée à ce que sa cause soit tranchée dans un délai raisonnable (ATF 145 I 167 consid. 4.4 ; ATF 142 II 218 consid. 2.8.1 et les références citées ; TF 6B_659/2022 du 17 mai 2023 consid. 3.2).</w:t>
      </w:r>
    </w:p>
    <w:p>
      <w:r>
        <w:rPr>
          <w:b/>
        </w:rPr>
        <w:t>E. 2.2.4</w:t>
      </w:r>
    </w:p>
    <w:p>
      <w:r>
        <w:t>A teneur de l'art. 251 ch. 1 CP, se rend coupable de faux dans les titres et sera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CP).</w:t>
      </w:r>
    </w:p>
    <w:p>
      <w:r>
        <w:rPr>
          <w:b/>
        </w:rPr>
        <w:t>E. 2.2.5</w:t>
      </w:r>
    </w:p>
    <w:p>
      <w:r>
        <w:t>Aux termes de l'art. 146 al. 1 CP,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2e éd., Bâle 2017, n. 1 ad art. 146 CP).</w:t>
      </w:r>
    </w:p>
    <w:p>
      <w:r>
        <w:rPr>
          <w:b/>
        </w:rPr>
        <w:t>E. 2.3</w:t>
      </w:r>
    </w:p>
    <w:p>
      <w:r>
        <w:t>En l'occurrence, le recourant a déposé plusieurs plaintes pénales par le passé, qui ont toutes fait l'objet d'une ordonnance de non-</w:t>
      </w:r>
    </w:p>
    <w:p>
      <w:r>
        <w:t>- 10 - entrée en matière. Ces ordonnances sont par ailleurs toutes définitive et exécutoires. Cela étant posé, on déduit de la plainte pénale déposée par T.________ le 31 août 2023, qui reprend les mêmes griefs que ceux déjà mentionnés dans ses plaintes précédentes, particulièrement dans celle du 18 mai 2023, qu'il considère que le Ministère public s'est trompé et qu'il souhaite que cette autorité revienne sur ses précédentes décisions de ne pas entrer en matière. Il considère que la Procureure aurait établi les faits de manière erronée et reformule ses griefs. Ce faisant, il perd de vue que ces ordonnances sont exécutoires et qu'ainsi une reprise de la procédure est soumise aux conditions de l'art. 323 al. 1 CPP. Or, tant dans sa plainte du 31 août 2023 que dans le présent recours, T.________ ne fait pas valoir d'éléments nouveaux dont le Ministère public n'avait pas connaissance au moment de rendre ses ordonnances, de sorte qu'il ne saurait bénéficier d'une réouverture de la procédure en application des articles 11 al. 2 CP et 323 al. 1 CPP (cf. consid. 2.2.2 in fine supra). Au vu de ce qui précède, c'est à juste titre que la procureure a prononcé une non-entrée en matière en vertu du principe ne bis in idem. A titre superfétatoire, la Chambre de céans constate que la motivation de l'ordonnance attaquée est complète et convaincante et on peut y renvoyer par adoption de motifs (cf. art. 82 al. 4 CPP). En conséquence, le moyen du recourant en relation avec la violation du droit d'être entendu doit être rejeté, étant par ailleurs rappelé qu'au vu du large pouvoir d’examen de la Chambre des recours pénale, une telle violation aurait été réparée par le fait qu'il a eu la possibilité de déposer un recours contre l’ordonnance. Enfin, avec le Ministère public, on ne peut qu'attirer l'attention du recourant sur la possibilité qui lui est faite d’actionner la justice civile pour faire valoir ses prétentions.</w:t>
      </w:r>
    </w:p>
    <w:p>
      <w:r>
        <w:t>- 11 -</w:t>
      </w:r>
    </w:p>
    <w:p>
      <w:r>
        <w:rPr>
          <w:b/>
        </w:rPr>
        <w:t>E. 3</w:t>
      </w:r>
    </w:p>
    <w:p>
      <w:r>
        <w:t>Il résulte de ce qui précède que le recours, manifestement mal fondé, doit être rejeté sans échange d’écriture (art. 390 al. 2 CPP) et l’ordonnance du 6 décembre 2023 confirmée. La cause étant dénuée de chances de succès (art. 136 al. 1 let. a CPP), la requête tendant à l’octroi de l’assistance judiciaire gratuite et à la désignation d’un conseil juridique gratuit doit être rejetée.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6 décembre 2023 est confirmée. III. La demande d'assistance judiciaire est rejetée. IV. Les frais d'arrêt, par 1'100 fr. (mille cent francs), sont mis à la charge du recourant. V. L’arrêt est exécutoire. Le président : La greffière : Du Le présent arrêt, dont la rédaction a été approuvée à huis clos, est notifié, par l'envoi d'une copie complète, à : - M. T.________, - Ministère public central,</w:t>
      </w:r>
    </w:p>
    <w:p>
      <w:r>
        <w:t>- 12 -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