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PE23.017940 vom 26. Januar 2024</w:t>
      </w:r>
    </w:p>
    <w:p>
      <w:r>
        <w:t>VD Tribunal cantonal, 2024-01-26, FR</w:t>
      </w:r>
    </w:p>
    <w:p>
      <w:r>
        <w:rPr>
          <w:b/>
        </w:rPr>
        <w:t xml:space="preserve">Quelle: </w:t>
      </w:r>
      <w:r>
        <w:t>https://mcp.opencaselaw.ch/entscheid/vd_gerichte_PE23.017940</w:t>
      </w:r>
    </w:p>
    <w:p>
      <w:r>
        <w:t>FR: VD_GERICHTE PE23.017940 du 26 janvier 2024</w:t>
      </w:r>
    </w:p>
    <w:p>
      <w:r>
        <w:t>IT: VD_GERICHTE PE23.017940 del 26 gennaio 2024</w:t>
      </w:r>
    </w:p>
    <w:p>
      <w:pPr>
        <w:pStyle w:val="Heading2"/>
      </w:pPr>
      <w:r>
        <w:t>Erwägungen</w:t>
      </w:r>
    </w:p>
    <w:p>
      <w:r>
        <w:rPr>
          <w:b/>
        </w:rPr>
        <w:t>E. 15</w:t>
      </w:r>
    </w:p>
    <w:p>
      <w:r>
        <w:t>septembre 2023 (P. 5/1). La plainte comporte une juxtaposition d’affirmations non étayées concernant la prise en charge oncologique du plaignant au CHUV, en relation avec une opération chirurgicale subie le 19 mai 2023 et une chimiothérapie suivie du 19 juin au 26 juillet 2023. L’intéressé se plaint de divers dysfonctionnements, dont un prétendu manque d’hygiène dans les toilettes constaté le 19 juillet 2023 et une panne d’électricité survenue le 1er juillet 2023, laquelle aurait occasionné la perte de divers courriels sur son ordinateur personnel qui fonctionnait alors dans sa chambre de patient. De manière générale, il soutient que ses droits de personne handicapée sont « omis », par simple négligence administrative, malveillance ou « coercition » des organes concernés du CHUV, s’agissant notamment du refus « d’une assistance médicale pour résoudre ses problèmes de déambulation ». Le plaignant fait en particulier grief au Dr [...] d’avoir externalisé diverses analyses et biopsies, d’avoir ignoré l’avis de certains confrères, d’avoir tardé à fournir les informations idoines à l’Office de l’assurance-invalidité, d’avoir établi « des rapports médicaux incomplets et trompeurs », d’avoir omis de « faire l’effort d’organiser la récupération fonctionnelle » de son patient et d’avoir persisté dans la mise en œuvre d’un traitement comportant des effets secondaires. D’une manière générale encore, le plaignant se prévaut de la LHand (Loi fédérale du 13 décembre 2002 sur l’élimination des inégalités frappant les personnes handicapées ; RS 151.3) et du Code de déontologie de la FMH (https://www.fmh.ch/files/pdf29/standesordnung---fr---2023-11.pdf). B. Par ordonnance du 20 septembre 2023, le Ministère public de l’arrondissement de Lausanne a refusé d’entrer en matière sur la plainte (I) et a laissé les frais à la charge de l’Etat (II).</w:t>
      </w:r>
    </w:p>
    <w:p>
      <w:r>
        <w:t>- 3 - Le Procureur a considéré que le plaignant ne rendait pas suffisamment vraisemblable la commission d’une quelconque infraction. C. Par acte mis à la poste le 30 septembre 2023, D.________ a recouru auprès de la Chambre des recours pénale contre l’ordonnance de classement du 20 septembre 2023. Il a conclu implicitement, avec suite de frais et dépens, à son annulation et au renvoi de la cause au Ministère public, celui-ci étant « charg[é] de mener l’enquête en convoquant les suspects pour vérifier les motifs du comportement relevant de la malveillance ou d’un comportement concerté existant au CHUV ». Il a produit des pièces. Le 31 octobre 2023, le curateur du recourant a effectué le dépôt de 550 francs requis à titre de sûretés par avis de la Chambre de céans du 9 octobre 2023. Le recourant a déposé des mémoires ampliatifs spontanés les 24 et 30 octobre 2023, ainsi que le 2 janvier 2024. Il n’a pas été ordonné d’échange d’écritures. En d roit : 1. 1.1 Les parties peuvent attaquer une ordonnance de classement rendue par le Ministère public en application de l’art. 319 CPP dans les dix jours devant l’autorité de recours (art. 322 al. 2 et 396 al. 1 CPP ; cf. art.</w:t>
      </w:r>
    </w:p>
    <w:p>
      <w:r>
        <w:rPr>
          <w:b/>
        </w:rPr>
        <w:t>E. 20</w:t>
      </w:r>
    </w:p>
    <w:p>
      <w:r>
        <w:t>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- 4 - 1.2 En l’espèce, déposé le 30 septembre 2023, le recours a été interjeté en temps utile, devant l’autorité compétente, par le plaignant, qui a la qualité pour recourir (art. 382 al. 1 CPP). Déposés les 24 et 30 octobre 2023, ainsi que le 2 janvier 2024, les mémoires ampliatifs spontanés sont en revanche tardifs et, partant, irrecevables. Bien que le recours soit pourvu de conclusions explicites, autre est toutefois la question de savoir s’il satisfait aux exigences légales quant à sa forme et à sa motivation.</w:t>
      </w:r>
    </w:p>
    <w:p>
      <w:r>
        <w:t>- 5 - 1.3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Art. 196-457 StPO – Art. 1-54 JStPO, 2e éd. 2014 [ci-après : Basler Kommentar], n. 1a ad art. 385 StPO ; Pitteloud, Code de procédure pénale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w:t>
      </w:r>
    </w:p>
    <w:p>
      <w:r>
        <w:t>- 6 - citées ; Calame, in : Jeanneret/Kuhn/Perrier Depeursinge [éd.], Commentaire romand, Code de procédure pénale suisse, 2e éd. 2019, n.</w:t>
      </w:r>
    </w:p>
    <w:p>
      <w:r>
        <w:rPr>
          <w:b/>
        </w:rPr>
        <w:t>E. 21</w:t>
      </w:r>
    </w:p>
    <w:p>
      <w:r>
        <w:t>ad art. 385 CPP ; Guidon, in : Basler Kommentar, op. cit., n. 9c ad art. 396 StPO et les références citées). 1.3.2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1.4 1.4.1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(cf. p. ex. TF 6B_1447/2022 précité; CREP 2 octobre 2023/808 ; dans le cas d’un recours prolixe, cf. ég. CREP 21 décembre 2023/1044).</w:t>
      </w:r>
    </w:p>
    <w:p>
      <w:r>
        <w:t>- 7 - 1.4.2 En l’espèce, le recourant, dans un mémoire confinant à la prolixité, invoque différents dysfonctionnements dans sa prise en charge médicale et hospitalière, notamment des erreurs et des informations incomplètes ou contradictoires, imputées principalement au Dr [...]. Il reproche également à ce médecin de ne pas avoir jugé utile de l’orienter vers un programme spécifique de neuroréadaptation. En outre, les médecins du CHUV auraient tardé à renseigner son médecin traitant au Tessin. Le recourant formule également de nombreux reproches contre son curateur au Tessin, l’avocat [...], ainsi que contre la directrice de l’Hôtel des patients, rattaché au CHUV, [...]. Concernant ce dernier point, et tout comme il l’avait fait dans son complément de plainte du 15 septembre 2023, il se déclare « accusateur privé pour l’action en réparation contre les autorités cantonales qui ne tiennent pas compte des contrôles de conformité des établissements d’accueil offrant des services de santé sans les conforts prévus par la catégorie d’enregistrement e (sic) l’hospitalisation térapeutique (sic) » (p. 9, 11e par.). Le recourant produit diverses pièces, notamment des rapports médicaux, sans commentaire particulier. Le recourant soutient avoir la capacité de discernement ; en tout état de cause, son curateur a ratifié le recours par acte concluant en effectuant l’avance des sûretés. Quoi qu’il en soit, non seulement le recourant procède par affirmations non établies concrètement mais, de surcroît, les faits qu’il invoque, du moins ceux qui sont articulés de manière intelligible, ne paraissent pas relever du droit pénal. En particulier, le recours ne comporte aucun moyen relatif à la non-entrée en matière prononcée. Ainsi, le recourant ne présente ni argument, ni moyen de preuve susceptible d’aller à l’encontre du raisonnement suivi par le Ministère public. En réalité, le recourant se plaint de manière générale, en sa qualité de personne handicapée, d’un système de prise en charge médicale qui ne lui convient pas, ce qui ne saurait suffire à justifier la compétence du juge pénal. 1.4.3 Ainsi, l’acte de recours ne comporte aucun moyen à l’appui de ses conclusions, dirigé contre les motifs ou le dispositif de l’ordonnance et</w:t>
      </w:r>
    </w:p>
    <w:p>
      <w:r>
        <w:t>- 8 - qui, en se référant aux considérants de la décision attaquée, commanderait de rendre une autre décision. L’acte de recours ne satisfait dès lors pas aux exigences de motivation de l'art. 385 al. 1 CPP. Un tel défaut de motivation ne saurait justifier qu'un délai supplémentaire soit imparti au recourant pour compléter son acte en application de l'art. 385 al. 2 CPP. 2. Il résulte de ce qui précède que le recours doit être déclaré irrecevable, sans échange d’écritures (art. 390 al. 2 CPP). Les frais de la procédure de recours, constitués en l'espèce de l'émolument d'arrêt, par 770 fr. (art. 20 al. 1 TFIP [tarif des frais de procédure et indemnités en matière pénale du 28 septembre 2010 ; BLV 312.03.1]), seront mis à la charge du recourant, qui succombe (art. 428 al. 1 CPP). Le montant de 550 fr. déjà versé par le recourant à titre de sûretés sera imputé sur ces frais (art. 7 TFIP). Par ces motifs, la Chambre des recours pénale prononce : I. Le recours est irrecevable. II. Les frais d’arrêt, par 770 fr. (sept cent septante francs), sont mis à la charge de D.________. III. Le montant de 550 fr. (cinq cent cinquante francs) déjà versé par D.________ à titre de sûretés est imputé sur les frais mis à sa charge au chiffre II ci-dessus, le solde dû par celui-ci à l’Etat s’élevant à 220 fr. (deux cent vingt francs). IV. L’arrêt est exécutoire.</w:t>
      </w:r>
    </w:p>
    <w:p>
      <w:r>
        <w:t>- 9 - Le président : Le greffier : Du Le présent arrêt, dont la rédaction a été approuvée à huis clos, est notifié, par l'envoi d'une copie complète, à : - M. D.________,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