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PE23.017417 vom 7. Dezember 2023</w:t>
      </w:r>
    </w:p>
    <w:p>
      <w:r>
        <w:t>VD Tribunal cantonal, 2023-12-07, FR</w:t>
      </w:r>
    </w:p>
    <w:p>
      <w:r>
        <w:rPr>
          <w:b/>
        </w:rPr>
        <w:t xml:space="preserve">Quelle: </w:t>
      </w:r>
      <w:r>
        <w:t>https://mcp.opencaselaw.ch/entscheid/vd_gerichte_PE23.017417</w:t>
      </w:r>
    </w:p>
    <w:p>
      <w:r>
        <w:t>FR: VD_GERICHTE PE23.017417 du 7 décembre 2023</w:t>
      </w:r>
    </w:p>
    <w:p>
      <w:r>
        <w:t>IT: VD_GERICHTE PE23.017417 del 7 dicembre 2023</w:t>
      </w:r>
    </w:p>
    <w:p>
      <w:pPr>
        <w:pStyle w:val="Heading2"/>
      </w:pPr>
      <w:r>
        <w:t>Erwägungen</w:t>
      </w:r>
    </w:p>
    <w:p>
      <w:r>
        <w:rPr>
          <w:b/>
        </w:rPr>
        <w:t>E. 1.1</w:t>
      </w:r>
    </w:p>
    <w:p>
      <w:r>
        <w:t>Selon l’art. 393 al. 1 let. a CPP, le recours est recevable, notamment, contre les décisions et actes de procédure de la police.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En l’espèce, le recours a été déposé en temps utile devant l’autorité compétente par le prévenu dont l’ADN a été prélevé, et qui a qualité pour recourir (art. 382 al. 1 CPP), et a été établi dans les formes prescrites (art. 385 al. 1 CPP).</w:t>
      </w:r>
    </w:p>
    <w:p>
      <w:r>
        <w:rPr>
          <w:b/>
        </w:rPr>
        <w:t>E. 1.2</w:t>
      </w:r>
    </w:p>
    <w:p>
      <w:r>
        <w:t>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w:t>
      </w:r>
    </w:p>
    <w:p>
      <w:r>
        <w:t>- 4 - disparaît avant le dépôt du recours, celui-ci est irrecevable ; s'il disparaît au cours de la procédure, le recours devient sans objet (ATF 142 I 135 consid. 1.3.1 ; ATF 139 I 206 consid. 1.1 ; ATF 137 I 296 consid. 4.2).</w:t>
      </w:r>
    </w:p>
    <w:p>
      <w:r>
        <w:rPr>
          <w:b/>
        </w:rPr>
        <w:t>E. 2</w:t>
      </w:r>
    </w:p>
    <w:p>
      <w:r>
        <w:t>En l’espèce, le Ministère public a renoncé à l’analyse d’ADN en cause et le prélèvement a dès lors été détruit. Dans ces conditions, le recourant ne dispose plus d’un intérêt actuel et pratique au recours au sens de l’art. 382 al. 1 CPP. Par conséquent, dans la mesure où cet intérêt a disparu en cours de procédure, le recours sera déclaré sans objet et la cause rayée du rôle.</w:t>
      </w:r>
    </w:p>
    <w:p>
      <w:r>
        <w:rPr>
          <w:b/>
        </w:rPr>
        <w:t>E. 3</w:t>
      </w:r>
    </w:p>
    <w:p>
      <w:r>
        <w:t>Dans la mesure où le recours est devenu sans objet en raison d’un changement de circonstances non imputable au recourant, les frais de la procédure de recours, constitués du seul émolument d’arrêt, par 550 fr. (art. 20 al. 1 TFIP [tarif des frais de procédure et indemnités en matière pénale du 28 septembre 2010 ; BLV 312.03.1]), seront laissés à la charge de l’Etat (TF 1B_123/2021 du 27 avril 2021 consid. 7.2 CPP). Le recourant, qui a procédé avec l’assistance d’un défenseur de choix et qui a obtenu gain de cause, a droit à une indemnité pour les dépenses occasionnées par la procédure de recours (art. 429 al. 1 let. a CPP, applicable par renvoi de l’art. 436 al. 1 CPP). Le mandataire a produit une liste d’opérations faisant état d’une durée d’activité totale de collaborateurs de son Etude de 10 heures et 13 minutes, soit 9 heures et 38 minutes d’avocat stagiaire et 35 minutes d’avocate brevetée. Cette durée est manifestement excessive s’agissant d’une cause de peu d’ampleur et d’une faible complexité. Elle doit être ramenée aux seules opérations utiles suivantes : - 5 heures d’avocat stagiaire pour l’étude du dossier et la rédaction du recours ; - 30 minutes d’avocate brevetée pour la relecture et la correction du recours ;</w:t>
      </w:r>
    </w:p>
    <w:p>
      <w:r>
        <w:t>- 5 - - 20 minutes d’avocat stagiaire pour les divers entretiens téléphoniques et courriers échangés avec le mandant. Conformément à la pratique constante de la Cour de céans, les différents mémos ne sauraient en outre être pris en compte, dès lors qu’ils constituent de simples tâches de secrétariat. Il en va de même de l’établissement de la procuration. Le tarif horaire sera enfin arrêté au minimum prévu par l’art. 26a al. 3 TFIP, vu la nature du dossier et la simplicité de la cause (TF 1B_104/2020 du 27 mai 2020 consid. 3.4). Le tarif horaire déterminant (hors TVA) à prendre en compte sera ainsi de 250 fr. pour l'activité déployée par l’avocate et de 160 fr. pour celle déployée par l’avocat stagiaire. L’indemnité nette totale allouée doit ainsi être fixée à 978 fr. 35 (125 fr. + 853 fr. 35), montant auquel il convient d’ajouter des débours forfaitaires à concurrence de 2 % (art. 19 al. 1 TDC [Tarif des dépens en matière civile du 23 novembre 2010 ; BLV 270.11.6], applicable par renvoi de l’art. 26a al. 6 TFIP), de 19 fr. 56, ainsi que la TVA au taux de 7,7 %, de 76 fr. 84, ce qui correspond à une indemnité d’un montant total de 1'075 fr. en chiffres arrondis. A l’instar des frais, cette indemnité sera laissée à la charge de l’Etat (TF 1B_123/2021 du 27 avril 2021 consid. 7.2).</w:t>
      </w:r>
    </w:p>
    <w:p>
      <w:r>
        <w:rPr>
          <w:b/>
        </w:rPr>
        <w:t>E. 4</w:t>
      </w:r>
    </w:p>
    <w:p>
      <w:r>
        <w:t>Vu l’issue du recours, la demande d’assistance judiciaire dont il est assorti est sans objet. Par ces motifs, la Chambre des recours pénale prononce : I. Le recours est sans objet. II. La cause est rayée du rôle.</w:t>
      </w:r>
    </w:p>
    <w:p>
      <w:r>
        <w:t>- 6 - III. Une indemnité de 1'075 fr. (mille septante-cinq francs) est allouée à W.________ pour les dépenses occasionnées par la procédure de recours, à la charge de l’Etat. IV. Les frais d’arrêt, par 550 fr. (cinq cent cinquante francs), sont laissés à la charge de l’Etat. V. L’arrêt est exécutoire. La présidente : Le greffier :</w:t>
      </w:r>
    </w:p>
    <w:p>
      <w:r>
        <w:t>- 7 - Du Le présent arrêt, dont la rédaction a été approuvée à huis clos, est notifié, par l'envoi d'une copie complète, à : - Me Jean-Marc Courvoisier, avocat (pour W.________), - Police judiciaire municipale de la Commune de Lausanne,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