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PE23.017023 vom 4. Dezember 2023</w:t>
      </w:r>
    </w:p>
    <w:p>
      <w:r>
        <w:t>VD Tribunal cantonal, 2023-12-04, FR</w:t>
      </w:r>
    </w:p>
    <w:p>
      <w:r>
        <w:rPr>
          <w:b/>
        </w:rPr>
        <w:t xml:space="preserve">Quelle: </w:t>
      </w:r>
      <w:r>
        <w:t>https://mcp.opencaselaw.ch/entscheid/vd_gerichte_PE23.017023</w:t>
      </w:r>
    </w:p>
    <w:p>
      <w:r>
        <w:t>FR: VD_GERICHTE PE23.017023 du 4 décembre 2023</w:t>
      </w:r>
    </w:p>
    <w:p>
      <w:r>
        <w:t>IT: VD_GERICHTE PE23.017023 del 4 dicembre 2023</w:t>
      </w:r>
    </w:p>
    <w:p>
      <w:pPr>
        <w:pStyle w:val="Heading2"/>
      </w:pPr>
      <w:r>
        <w:t>Erwägungen</w:t>
      </w:r>
    </w:p>
    <w:p>
      <w:r>
        <w:rPr>
          <w:b/>
        </w:rPr>
        <w:t>E. 3</w:t>
      </w:r>
    </w:p>
    <w:p>
      <w:r>
        <w:t>En définitive, le recours doit être admis, l’ordonnance entreprise annulée et le dossier de la cause renvoyé au Ministère public pour qu’il procède dans le sens des considérants. Vu l’admission du recours, les frais de la procédure de recours, constitués du seul émolument d'arrêt, par 1’100 fr. (art. 20 al. 1 TFJP [tarif des frais judiciaires pénaux du 28 septembre 2010 ; RSV 312.03.1]), seront laissés à la charge de l’Etat (art. 428 al. 4 CPP).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4e éd., 2023, n. 4 ad art. 436 CPP). Compte tenu de la nature de l’affaire et de l’acte de recours déposé, les honoraires doivent être fixés à 1’200 fr., correspondant à quatre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w:t>
      </w:r>
    </w:p>
    <w:p>
      <w:r>
        <w:t>- 11 - 28 septembre 2010 ; BLV 312.03.1]), par 24 fr., plus la TVA au taux de 7,7 %, par 94 fr. 20, soit à 1’319 fr. au total en chiffres arrondis. Par ces motifs, la Chambre des recours pénale prononce : I. Le recours est admis. II. L’ordonnance du 15 septembre 2023 est annulée. III. Le dossier de la cause est renvoyé au Ministère public de l’arrondissement de Lausanne pour qu’il procède dans le sens des considérants. IV. Une indemnité de 1’319 fr. (mille trois cent dix-neuf francs) est allouée à X.________ pour les dépenses occasionnées par la procédure de recours, à charge de l’Etat. V. Les frais d’arrêt, par 1’100 fr. (mille cent francs), sont laissés à la charge de l’Etat. VI. L’arrêt est exécutoire. La présidente : Le greffier : Du Le présent arrêt, dont la rédaction a été approuvée à huis clos, est notifié, par l'envoi d'une copie complète, à : - Me Estelle Baumgartner-Magnin, avocat (pour X.________),</w:t>
      </w:r>
    </w:p>
    <w:p>
      <w:r>
        <w:t>- 12 -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