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PE23.016906 vom 13. Dezember 2025</w:t>
      </w:r>
    </w:p>
    <w:p>
      <w:r>
        <w:t>VD Tribunal cantonal, 2025-12-13, FR</w:t>
      </w:r>
    </w:p>
    <w:p>
      <w:r>
        <w:rPr>
          <w:b/>
        </w:rPr>
        <w:t xml:space="preserve">Quelle: </w:t>
      </w:r>
      <w:r>
        <w:t>https://mcp.opencaselaw.ch/entscheid/vd_gerichte_PE23.016906</w:t>
      </w:r>
    </w:p>
    <w:p>
      <w:r>
        <w:t>FR: VD_GERICHTE PE23.016906 du 13 décembre 2025</w:t>
      </w:r>
    </w:p>
    <w:p>
      <w:r>
        <w:t>IT: VD_GERICHTE PE23.016906 del 13 dicembre 2025</w:t>
      </w:r>
    </w:p>
    <w:p>
      <w:pPr>
        <w:pStyle w:val="Heading2"/>
      </w:pPr>
      <w:r>
        <w:t>Erwägungen</w:t>
      </w:r>
    </w:p>
    <w:p>
      <w:r>
        <w:rPr>
          <w:b/>
        </w:rPr>
        <w:t>E. 1.1</w:t>
      </w:r>
    </w:p>
    <w:p>
      <w:r>
        <w:t>Les parties peuvent attaquer une ordonnance de classement rendue par le ministère public en application des art. 319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par la partie plaignante qui a qualité pour recourir (art. 382 al. 1 CPP) et satisfaisant aux conditions de forme prescrites (art. 385 al. 1 CPP), le recours de D.________ est recevable, sous réserve de ce qui sera exposé au considérant 3.3.2 ci-dessous.</w:t>
      </w:r>
    </w:p>
    <w:p>
      <w:r>
        <w:rPr>
          <w:b/>
        </w:rPr>
        <w:t>E. 2</w:t>
      </w:r>
    </w:p>
    <w:p>
      <w:r>
        <w:t>Selon l’art. 319 al. 1 CPP, le ministère public ordonne le classement de tout ou partie de la procédure : (let. a) lorsqu’aucun soupçon 12J010</w:t>
      </w:r>
    </w:p>
    <w:p>
      <w:r>
        <w:t>- 6 -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4.1.2 et les références citées ; TF 6B_996/2021 du 31 mai 2022 consid. 3.1 et les références citées).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12J010</w:t>
      </w:r>
    </w:p>
    <w:p>
      <w:r>
        <w:t>- 7 -</w:t>
      </w:r>
    </w:p>
    <w:p>
      <w:r>
        <w:rPr>
          <w:b/>
        </w:rPr>
        <w:t>E. 3.1</w:t>
      </w:r>
    </w:p>
    <w:p>
      <w:r>
        <w:t>La recourante conteste le classement de la procédure dirigée contre C.________. Elle fait grief au procureur d’avoir retenu uniquement les déclarations du prévenu et nie toujours s’être élancée au pas de course, de nuit, sur une route non éclairée. Elle soutient que le déroulement de l’accident ne serait pas suffisamment déterminé pour conclure aussi rapidement à une absence totale de responsabilité de la part du prévenu. Elle continue ainsi de remettre en cause les conclusions des experts et requiert dès lors l’audition des experts, une nouvelle audition des parties, voire une confrontation de celles-ci, de même que la mise en œuvre d’une vision locale.</w:t>
      </w:r>
    </w:p>
    <w:p>
      <w:r>
        <w:rPr>
          <w:b/>
        </w:rPr>
        <w:t>E. 3.2.1</w:t>
      </w:r>
    </w:p>
    <w:p>
      <w:r>
        <w:t>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7B_11/2024 du 27 juin 2025 consid. 3.2). La motivation d’un acte de recours doit être entièrement contenue dans l’acte lui-même et ne saurait être complétée ultérieurement (TF 7B_11/2024 précité consid. 3.2 ; TF 7B_587/2023 du 11 septembre 2024 consid. 2.2.1). Cette motivation ne saurait pas non plus être une répétition de l’argumentation présentée en première instance et qui a été rejetée par celle-ci (Guidon, in Niggli/Heer/Wiprächtiger (éd.), Basler Kommentar, Schweizerische Strfprozessordnung, 3e éd. 2023, n. 9c ad art. 396 StPO, p. 3475 et les références citées).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7B_51/2024 du 25 avril 2024 consid. 2.2.2 ; TF 6B_1447/2022 12J010</w:t>
      </w:r>
    </w:p>
    <w:p>
      <w:r>
        <w:t>- 8 - du 14 mars 2023 consid. 1.1). Dans la mesure où elle concrétise l’interdiction, pour les autorités, du formalisme excessif, elle ne s’applique pas aux requêtes formées par une partie qui connaît les exigences de forme – à savoir notamment par une partie assistée d’un avocat – et ne les respecte néanmoins pas, sans quoi il serait possible de contourner la règle selon laquelle les délais fixés par la loi ne peuvent pas être prolongés (art. 89 al. 1 CPP ; TF 7B_51/2024 précité consid. 2.2.2 ; TF 6B_1447/2022 précité consid. 1.1 ; TF 1B_318/2021 du 25 janvier 2022 consid. 4.1).</w:t>
      </w:r>
    </w:p>
    <w:p>
      <w:r>
        <w:rPr>
          <w:b/>
        </w:rPr>
        <w:t>E. 3.2.2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Aux termes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12J010</w:t>
      </w:r>
    </w:p>
    <w:p>
      <w:r>
        <w:t>- 9 -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 ATF 136 I 229 consid. 5.3 ; TF 6B_400/2020 du 20 janvier 2021 consid. 2.1).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28 mars 2023/245 consid. 3.2 ; CREP 1er mars 2023/104 consid. 2.2.2 ; CREP 21 février 2023/88 consid. 2.2.2).</w:t>
      </w:r>
    </w:p>
    <w:p>
      <w:r>
        <w:rPr>
          <w:b/>
        </w:rPr>
        <w:t>E. 3.3.1</w:t>
      </w:r>
    </w:p>
    <w:p>
      <w:r>
        <w:t>Il ressort du dossier que les dépositions des deux parties ont été recueillies, celle du conducteur le 3 septembre 2023, soit le jour de l’accident, lesquelles ont été confirmées le 11 juin 2024, et celle de la partie plaignante le 18 octobre 2023, lorsque son état de santé lui a permis de s’exprimer. Depuis lors, les parties n’ont pas modifié leur version des faits et on ne discerne pas en quoi de nouvelles auditions ou une confrontation pourraient apporter de nouveaux éléments. Au demeurant, la recourante ne l’indique pas non plus dans son recours. Partant, sans utilité, cette réquisition doit être rejetée. 12J010</w:t>
      </w:r>
    </w:p>
    <w:p>
      <w:r>
        <w:t>- 10 - En sus des dépositions des parties, le dossier comporte le rapport d’investigation de la police (P. 16/1), un cahier photographique détaillé de la zone de l’accident sous différents angles (P. 16/4) et un rapport d’expertise fouillé (P. 39) comportant des photographies légendées et des dessins/schémas. On ignore donc pour quelle raison la mise en œuvre d’une vision locale se justifierait et serait nécessaire afin de comprendre le mécanisme et les circonstances de l’accident. La recourante n’indique d’ailleurs pas quel apport décisif pourrait résulter d’une vision locale, de sorte que cette réquisition doit être rejetée. La recourante requiert ensuite que l’expert soit entendu pour discuter de son rapport et des hypothèses qu’elle a elle-même présentées et qui n’auraient pas été traitées. En l’espèce, l’expert s’est fondé sur tous les éléments à disposition, à savoir la scène de l’accident, les traces, les débris et les indices sur la route, les traces et les marques sur le véhicule, ainsi que l’ossature de la blessée, de même que les dépositions des parties, les données scientifiques et les simulations informatiques. Loin de tenir compte de l’ensemble de ces facteurs, pour les besoins de sa cause, la recourante se borne à affirmer péremptoirement et sans l’étayer que, si elle avait traversé la chaussée de gauche à droite devant la voiture, la manœuvre d’évitement à gauche aurait nécessairement été plus marquée et aurait dû déboucher sur une perte de maîtrise de la trajectoire (P. 45). En réalité, le coup de volant à gauche pour tenter d’éviter le heurt ressort non seulement des déclarations du conducteur, mais aussi des traces de pneus relevées sur la chaussée, de la position finale de la voiture, ainsi que des blessures de la plaignante (P. 39, p. 10). Au demeurant, il est relevé qu’il ressort de la version des faits de la recourante, qui a décrit un chemin bétonné, et de la reconstitution par la police de son trajet à pied (P. 16/1, p. 3), que celle-ci sortait de la S*** » lorsqu’elle a débouché sur la route de Berne à trois voies, soit du côté gauche par rapport au sens de marche de l’automobiliste. Dès lors, l’affirmation infondée formulée par la recourante de la prétendue incompatibilité entre le trajet de la piétonne et l’amplitude de la manoeuvre d’évitement ne constitue pas une critique raisonnable de l’expertise devant être prise en considération, si bien qu’il n’est pas nécessaire de la soumettre à l’expert. 12J010</w:t>
      </w:r>
    </w:p>
    <w:p>
      <w:r>
        <w:t>- 11 - Pour le surplus, la recourante affirme à nouveau qu’elle cheminait sur le bord droit de la chaussée au moment du choc et soutient qu’elle aurait peut-être légèrement pivoté à droite, ce qui expliquerait l’angle de 130° à l’impact entre l’avant de la voiture et son corps, alors même qu’elle n’a aucun souvenir ni de ce mouvement, ni de l’arrivée du véhicule pourtant annoncée par son bruit et le halo de ses phares. Sur la base de données aussi complètes et objectives que possible, l’expert a reconstitué l’accident en établissant un plan de déroulement de celui-ci (cf. P. 39, dernière annexe). Il a été constaté que la position approximative de la collision se situait non pas sur le bord droit de la chaussée, mais vers la ligne blanche médiane continue séparant cette voie de celle venant en sens inverse. Là encore, il n’y a pas lieu de soumettre à l’expert un mouvement de pivotement imaginé par une partie qui ne s’insère pas avec les autres éléments analysés par l’expert. Partant, c’est à juste titre que le Ministère public a rejeté les mesures d’instruction requises par la recourante.</w:t>
      </w:r>
    </w:p>
    <w:p>
      <w:r>
        <w:rPr>
          <w:b/>
        </w:rPr>
        <w:t>E. 3.3.2</w:t>
      </w:r>
    </w:p>
    <w:p>
      <w:r>
        <w:t>Le procureur a retenu que la faute concomitante de la recourante avait rompu le lien de causalité adéquate entre le comportement de C.________ et les lésions qu’elle avait subies et qu’il convenait dès lors de classer la procédure ouverte à l’encontre du prévenu. Il est en effet reproché à la recourante une violation de l’art. 49 al. 2 LCR, qui stipule que « [l]es piétons traverseront la chaussée avec prudence et par le plus court chemin en empruntant, où cela est possible, un passage pour piétons. Ils bénéficient de la priorité sur de tels passages, mais ne doivent pas s’y lancer à l’improviste ». On peut également lui imputer une violation de l’art. 47 al. 5 OCR (ordonnance fédérale du 13 novembre sur les règles de la circulation routière ; RS 741.11), lequel prévoit qu’« [h]ors des passages pour piétons, les piétons accorderont la priorité aux véhicules ». Toutefois, limitant ses griefs à une critique des faits et des preuves, la recourante ne présente aucun motif juridique imposant d’annuler le classement, en particulier en ce qui concerne la violation d’un devoir de prudence sous la forme d’une inattention et la question de la 12J010</w:t>
      </w:r>
    </w:p>
    <w:p>
      <w:r>
        <w:t>- 12 - rupture du lien de la causalité adéquate. Faute de motivation du recours (art. 385 al. 1 let. b CPP), ces points ne seront donc pas examinés.</w:t>
      </w:r>
    </w:p>
    <w:p>
      <w:r>
        <w:rPr>
          <w:b/>
        </w:rPr>
        <w:t>E. 4</w:t>
      </w:r>
    </w:p>
    <w:p>
      <w:r>
        <w:t>Au vu de ce qui précède, le recours est rejeté dans la mesure où il est recevable et l’ordonnance du 2 octobre 2025 est confirmée. La requête d’assistance judiciaire pour la procédure de recours présentée par D.________ est admise (art. 136 al. 3 CPP). Me Christian Giauque, déjà consulté, sera désigné en qualité de conseil juridique gratuit. L’avocat a indiqué avoir consacré 3 heures et 45 minutes à la présente procédure de recours. Il n’y a pas lieu de s’écarter du temps annoncé, qui apparaît correct. L’indemnité qui lui sera allouée sera fixée à 675 fr., correspondant à 3 heures et 45 minutes d’activité au tarif horaire de 180 fr., montant auquel il convient d’ajouter des débours forfaitaires à concurrence de 2 % des honoraires admis (art. 3bis al. 1 RAJ [règlement du</w:t>
      </w:r>
    </w:p>
    <w:p>
      <w:r>
        <w:rPr>
          <w:b/>
        </w:rPr>
        <w:t>E. 7</w:t>
      </w:r>
    </w:p>
    <w:p>
      <w:r>
        <w:t>décembre 2010 sur l’assistance judiciaire en matière civile ; BLV 211.02.3], applicable par renvoi de l’art. 26b TFIP), par 13 fr. 50, plus la TVA au taux de 8,1 %, par 55 fr. 75, soit à 745 fr. au total en chiffres arrondis. Vu l’issue de la cause, les frais de la procédure de recours, constitués en l’espèce de l’émolument d’arrêt (art. 422 al. 1 CPP), par 1’320 fr. (art. 20 al. 1 TFIP [tarif des frais de procédure et indemnités en matière pénale du 28 septembre 2010 ; BLV 312.03.1]), et de l’indemnité du conseil juridique gratuit de D.________, par 745 fr., seront mis à la charge de la recourante, qui succombe (art. 428 al. 1 CPP). Le remboursement à l’Etat de l’indemnité allouée au conseil juridique gratuit ne sera exigible que pour autant que la situation financière de D.________ le permette (art. 135 al. 4, par renvoi de l’art. 138 al. 1 CPP). 12J010</w:t>
      </w:r>
    </w:p>
    <w:p>
      <w:r>
        <w:t>- 13 - Par ces motifs, la Chambre des recours pénale prononce : I. Le recours est rejeté dans la mesure où il est recevable. II. L’ordonnance du 2 octobre 2025 est confirmée. III. La requête d’assistance judiciaire de D.________ est admise et Me Christian Giauque est désigné en qualité de conseil juridique gratuit de D.________ pour la procédure de recours. IV. L’indemnité due à Me Christian Giauque pour la procédure de recours est fixée à 745 fr. (sept cent quarante-cinq francs). V. Les frais d’arrêt, par 1’320 fr. (mille trois cent vingt francs), ainsi que l’indemnité due au conseil juridique gratuit de D.________, par 745 fr. (sept cent quarante-cinq francs), sont mis à la charge de D.________. VI. Le remboursement à l’Etat de l’indemnité allouée au chiffre IV ci-dessus ne sera exigible que pour autant que la situation financière de D.________ le permette. VII. L’arrêt est exécutoire. Le président : La greffière : Du Le présent arrêt, dont la rédaction a été approuvée à huis clos, est notifié, par l’envoi d’une copie complète, à : - Me Christian Giauque, avocat (pour D.________), - Ministère public central, 12J010</w:t>
      </w:r>
    </w:p>
    <w:p>
      <w:r>
        <w:t>- 14 - et communiqué à : - M. le Procureure de l’arrondissement de Lausanne, - Me Emilie Rodriguez, avocate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