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PE23.016365 vom 28. Februar 2024</w:t>
      </w:r>
    </w:p>
    <w:p>
      <w:r>
        <w:t>VD Tribunal cantonal, 2024-02-28, FR</w:t>
      </w:r>
    </w:p>
    <w:p>
      <w:r>
        <w:rPr>
          <w:b/>
        </w:rPr>
        <w:t xml:space="preserve">Quelle: </w:t>
      </w:r>
      <w:r>
        <w:t>https://mcp.opencaselaw.ch/entscheid/vd_gerichte_PE23.016365</w:t>
      </w:r>
    </w:p>
    <w:p>
      <w:r>
        <w:t>FR: VD_GERICHTE PE23.016365 du 28 février 2024</w:t>
      </w:r>
    </w:p>
    <w:p>
      <w:r>
        <w:t>IT: VD_GERICHTE PE23.016365 del 28 febbraio 2024</w:t>
      </w:r>
    </w:p>
    <w:p>
      <w:pPr>
        <w:pStyle w:val="Heading2"/>
      </w:pPr>
      <w:r>
        <w:t>Erwägungen</w:t>
      </w:r>
    </w:p>
    <w:p>
      <w:r>
        <w:rPr>
          <w:b/>
        </w:rPr>
        <w:t>E. 3</w:t>
      </w:r>
    </w:p>
    <w:p>
      <w:r>
        <w:t>Recours de B.I.________</w:t>
      </w:r>
    </w:p>
    <w:p>
      <w:r>
        <w:rPr>
          <w:b/>
        </w:rPr>
        <w:t>E. 3.1</w:t>
      </w:r>
    </w:p>
    <w:p>
      <w:r>
        <w:t>Le recourant fait valoir que le courriel du 3 novembre 2022 contiendrait des propos diffamatoires et injurieux. Il soutient à cet égard que C.I.________ l’aurait présenté auprès de la Dre R.________, en particulier en usant de l’expression « aliénation parentale », comme un « tyran manipulateur » ou encore un « être démoniaque » qui exercerait une emprise sur ses enfants. Il reproche également au Ministère public de ne pas avoir examiné si la rédaction de ce courriel pourrait constituer une violation de l’art. 292 CP. Par ailleurs, il conteste avoir reconnu avoir été licencié avec effet immédiat du [...], avoir été « agressif » lors d’une tentative de médiation et avoir été à l’origine de son échec, ainsi que l’existence d’une dénonciation de [...] au Service de protection de la jeunesse.</w:t>
      </w:r>
    </w:p>
    <w:p>
      <w:r>
        <w:rPr>
          <w:b/>
        </w:rPr>
        <w:t>E. 3.2</w:t>
      </w:r>
    </w:p>
    <w:p>
      <w:r>
        <w:t>En l’occurrence, le recourant se contente de rappeler sa propre version des faits, telle qu’il l’avait déjà présentée dans sa plainte pénale, mais n’essaye aucunement de démontrer, par une argumentation topique, en quoi le raisonnement opéré par le Ministère public serait erroné. Il n’indique pas davantage quels motifs commanderaient une autre décision</w:t>
      </w:r>
    </w:p>
    <w:p>
      <w:r>
        <w:t>- 14 - sous l’angle du fait et du droit. En particulier, il n’explique pas en quoi les propos contenus dans le courriel du 3 novembre 2022 seraient attentatoires à son honneur au sens des art. 173, 174 et 177 CP. Il indique certes que les art. 309, 310 CPP et 173 CP auraient été violés, mais se limite, sur ce point, à renvoyer la Chambre de céans au recours déposé par son fils, A.I.________, ce qui n’est pas admissible sous l’angle de la motivation. Par ailleurs, alors même qu’il fait valoir que tous ses griefs n’auraient pas été traités, étant relevé qu’il a uniquement déposé plainte pour diffamation, calomnie et injure et qu’il a expressément limité celle-ci aux propos contenus dans le courriel du 3 novembre 2022 (cf. P. 4), il ne fait pas valoir de déni de justice ou une violation de son droit d’être entendu. En définitive, son acte de recours ne satisfait pas aux exigences de motivation de l’art. 385 al. 1 CPP.</w:t>
      </w:r>
    </w:p>
    <w:p>
      <w:r>
        <w:rPr>
          <w:b/>
        </w:rPr>
        <w:t>E. 4</w:t>
      </w:r>
    </w:p>
    <w:p>
      <w:r>
        <w:t>Au vu de ce qui précède, le recours de B.I.________ doit être déclaré irrecevable, tandis que celui d’A.I.________, manifestement mal fondé, doit être rejeté, sans échange d’écritures (art. 390 al. 2 CPP), et l’ordonnance entreprise confirmée. Les frais de la procédure de recours, constitués en l’espèce de l’émolument d'arrêt, par 1’430 fr. (art. 20 al. 1 TFIP [tarif des frais de procédure et indemnités en matière pénale du 28 septembre 2010 ; BLV 312.03.1]), seront mis à la charge d’A.I.________ et de B.I.________, qui succombe (art. 428 al. 1 CPP), à parts égales et solidairement entre eux. Pour ce même motif, il n’y a pas lieu d’allouer à A.I.________ une indemnité pour ses frais d’avocat. Les montants de 550 fr. déjà versés par les recourants à titre de sûretés seront imputés sur ces frais (art. 7 TFIP).</w:t>
      </w:r>
    </w:p>
    <w:p>
      <w:r>
        <w:t>- 15 - Par ces motifs, la Chambre des recours pénale prononce : I. Le recours d’A.I.________ est rejeté. II. Le recours de B.I.________ est irrecevable. III. L’ordonnance du 19 janvier 2024 est confirmée. IV. Les frais d’arrêt, par 1’430 fr. (mille quatre cent trente francs), sont mis à la charge d’A.I.________ et de B.I.________, à parts égales et solidairement entre eux. V. Les avances de frais de 550 fr. (cinq cent cinquante francs) versées par les recourants sont imputées sur les frais mis solidairement à leur charge au chiffre IV ci-dessus, le solde dû, à parts égales et solidairement entre eux, s’élevant à 330 fr. (trois cent trente francs). VI. L’arrêt est exécutoire. Le président : Le greffier : Du Le présent arrêt, dont la rédaction a été approuvée à huis clos, est notifié, par l'envoi d'une copie complète, à : - Me Muriel Vautier, avocate (pour A.I.________), - M. B.I.________, - Ministère public central, et communiqué à : - Mme la Procureure de l’arrondissement de l’Est vaudois,</w:t>
      </w:r>
    </w:p>
    <w:p>
      <w:r>
        <w:t>- 16 -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