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PE23.016192 vom 4. Dezember 2025</w:t>
      </w:r>
    </w:p>
    <w:p>
      <w:r>
        <w:t>VD Tribunal cantonal, 2025-12-04, FR</w:t>
      </w:r>
    </w:p>
    <w:p>
      <w:r>
        <w:rPr>
          <w:b/>
        </w:rPr>
        <w:t xml:space="preserve">Quelle: </w:t>
      </w:r>
      <w:r>
        <w:t>https://mcp.opencaselaw.ch/entscheid/vd_gerichte_PE23.016192</w:t>
      </w:r>
    </w:p>
    <w:p>
      <w:r>
        <w:t>FR: VD_GERICHTE PE23.016192 du 4 décembre 2025</w:t>
      </w:r>
    </w:p>
    <w:p>
      <w:r>
        <w:t>IT: VD_GERICHTE PE23.016192 del 4 dicembre 2025</w:t>
      </w:r>
    </w:p>
    <w:p>
      <w:pPr>
        <w:pStyle w:val="Heading2"/>
      </w:pPr>
      <w:r>
        <w:t>Erwägungen</w:t>
      </w:r>
    </w:p>
    <w:p>
      <w:r>
        <w:rPr>
          <w:b/>
        </w:rPr>
        <w:t>E. 1.1</w:t>
      </w:r>
    </w:p>
    <w:p>
      <w:r>
        <w:t>Aux termes de l'art. 395 let. b CPP,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12J001</w:t>
      </w:r>
    </w:p>
    <w:p>
      <w:r>
        <w:t>- 5 - décision et que le montant litigieux n'excède pas 5'000 francs. Dans ce cas, un juge de la Chambre des recours pénale est compétent pour statuer en tant que juge unique (art. 13 al. 2 LVCPP [loi vaudoise d'introduction du Code de procédure pénale suisse du 19 mai 2009 ; BLV 312.011).</w:t>
      </w:r>
    </w:p>
    <w:p>
      <w:r>
        <w:rPr>
          <w:b/>
        </w:rPr>
        <w:t>E. 1.2</w:t>
      </w:r>
    </w:p>
    <w:p>
      <w:r>
        <w:t>En l'occurrence, le recourant conclut à ce qu'une indemnité de 3'907 fr. 80 lui soit allouée et à ce que les frais, arrêtés à 225 fr., soient laissés à la charge de l’Etat. Dès lors que son grief porte sur un montant inférieur à 5’000 fr., le recours relève de la compétence d'un membre de la Chambre des recours pénale statuant en qualité de juge unique. Le recours a par ailleurs été interjeté en temps utile (art. 396 al. 1 CPP), contre une décision du Ministère public (art. 393 al. 1 let. a CPP), par le recourant qui a un intérêt juridiquement protégé à son annulation ou à sa modification (art. 382 al. 1 CPP). Il est donc recevable.</w:t>
      </w:r>
    </w:p>
    <w:p>
      <w:r>
        <w:rPr>
          <w:b/>
        </w:rPr>
        <w:t>E. 2</w:t>
      </w:r>
    </w:p>
    <w:p>
      <w:r>
        <w:t>Le recourant fait valoir une violation de la présomption d'innocence et soutient que le Ministère public aurait à tort appliqué les art. 426 al. 2 et 430 al. 1 let. a CPP en lui faisant supporter le frais de la procédure, respectivement en refusant de lui allouer une indemnité.</w:t>
      </w:r>
    </w:p>
    <w:p>
      <w:r>
        <w:rPr>
          <w:b/>
        </w:rPr>
        <w:t>E. 3.1</w:t>
      </w:r>
    </w:p>
    <w:p>
      <w:r>
        <w:t>Le recourant soutient en premier lieu que le dossier pénal ne contiendrait aucune information précise sur la nature du mandat conclu entre les parties, ses modalités, ni sur les obligations concrètes qui en découleraient pour lui ; aucun élément ne permettrait selon lui de conclure à une éventuelle violation par lui des règles du droit civil.</w:t>
      </w:r>
    </w:p>
    <w:p>
      <w:r>
        <w:rPr>
          <w:b/>
        </w:rPr>
        <w:t>E. 3.2.1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12J001</w:t>
      </w:r>
    </w:p>
    <w:p>
      <w:r>
        <w:t>- 6 -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 ; TF 6B_238/2025 du 19 mai 2025 consid. 3.1.1 ; TF 68_76/2024 du 7 octobre 2024 consid. 3.1). Le juge ne peut fonder sa décision que sur des faits incontestés ou déjà clairement établis (ATF 112 la 371 consid. 2a ; TF 63_238/2025 précité consid. 3.1.1 ; TF 63_76/2024 précité consid. 3.1 ; TF 6B_162/2022 du 9 janvier 2023 consid. 2.1).</w:t>
      </w:r>
    </w:p>
    <w:p>
      <w:r>
        <w:rPr>
          <w:b/>
        </w:rPr>
        <w:t>E. 3.2.2</w:t>
      </w:r>
    </w:p>
    <w:p>
      <w:r>
        <w:t>Selon l’art. 429 al. 1 CPP, si le prévenu est acquitté totalement ou en partie ou s’il bénéficie d’une ordonnance de classement, il a droit à 12J001</w:t>
      </w:r>
    </w:p>
    <w:p>
      <w:r>
        <w:t>- 7 -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I’indemnité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Dans cette mesure, la décision sur les frais préjuge de la question de I’indemnisation. En d’autres termes, si le prévenu supporte les frais en application de l’art. 426 al. 1 ou 2 CPP, une indemnité est en règle générale exclue, alors que le prévenu y a, en principe, droit si l’Etat supporte les frais de la procédure pénale (ATF 147 IV 47 consid. 4.1 ; ATF 144 IV 207 consid. 1.8.2 ; TF 6B_238/2025 précité consid. 3.1.2 ; TF 7B_216/2022 du 1er avril 2025 consid. 3.2).</w:t>
      </w:r>
    </w:p>
    <w:p>
      <w:r>
        <w:rPr>
          <w:b/>
        </w:rPr>
        <w:t>E. 3.2.3</w:t>
      </w:r>
    </w:p>
    <w:p>
      <w:r>
        <w:t>Le mandataire doit exécuter avec soin la mission qui lui est confiée et sauvegarder fidèlement les intérêts légitimes de son cocontractant (art. 321 a al. 1 CO applicable par renvoi de l’art. 398 al. 1 CO). Il est responsable envers le mandant de la bonne et fidèle exécution de sa mission (art. 398 al. 2 CO). De manière générale, il est tenu à des devoirs de diligence, d’information et de conseil (TF 4A_111/2019 du 23 juillet 2019 consid. 3.1 et les réf. cit.). En principe, l’étendue de la diligence requise s’apprécie selon des critères objectifs (ATF 133 III 1 21 consid. 3.1 p. 124 ; 127 III 328 consid. 3). Il s’agit de déterminer comment un mandataire consciencieux, placé dans la même situation, aurait agi en gérant l’affaire en cause ; les exigences seront plus sévères à l’égard du gérant qui exerce son mandat à titre professionnel et contre rémunération (ATF 115 Il 62 consid. 3a). En particulier, le devoir d’information implique pour le mandataire d’aviser le mandant de tout ce qui est important en relation avec le contrat. L’information doit être complète et exacte ; le mandataire doit notamment 12J001</w:t>
      </w:r>
    </w:p>
    <w:p>
      <w:r>
        <w:t>- 8 - conseiller le mandant et le renseigner sur les risques, y compris financiers, des mesures envisagées (ATF 115 Il 62 consid. 3a ; ATF 124 III 155 consid. 3a ; TF 4A_168/2008 du 11 juin 2008 consid. 2.4 ; Franz Werro, in : Commentaire romand, Code des obligations l, 3e éd. 2021, no 18 ad art. 398 CO). L’étendue du devoir d’information varie en fonction des connaissances et de l’expérience du mandant (ATF 119 Il 333 consid. 5a).</w:t>
      </w:r>
    </w:p>
    <w:p>
      <w:r>
        <w:rPr>
          <w:b/>
        </w:rPr>
        <w:t>E. 3.3</w:t>
      </w:r>
    </w:p>
    <w:p>
      <w:r>
        <w:t>En l'espèce, il est constant que les parties — qui travaillent ensemble depuis vingt-quatre ans (PV aud. 12, l. 272) — sont liées par un mandat au sens des art. 398 ss CO et que le recourant, en sa qualité de fiduciaire, s'est chargé de fournir, à titre de mandataire, divers services aux époux X.________, en particulier de gérer les contrats de location de l'immeuble dont A.X.________ est propriétaire (PV aud. 12, ll. 269 ss) et la partie administrative du garage loué par E.________ (PV aud. 1, R. 6 ; PV aud. 2, R. 6 ; PV aud. 3, R. 8). Cette gestion incluait la procédure de résiliation du bail portant sur le garage précité en raison de la demeure du locataire (PV aud. 2, R. 9 ; PV aud. 3, R. 5, 11 et 12 ; PV aud. 12, ll. 281 ss ; lettres de résiliation des 26 avril et 2 juin 2022 et les échanges de courriels entre la fiduciaire et A.X.________ annexés au PV aud. 2) et les conseils donnés dans ce cadre, en particulier sur la procédure à suivre à la suite de cette résiliation (PV aud. 10 ; R. 17 : « j’ai vu M. B.X.________ la semaine dernière et il m'a dit que la Fiduciaire A.________ lui avait dit de vider le garage en question et qu'ils avaient fait le nécessaire pour renseigner le locataire du box » ; cf. également PV aud. 11, R. 6 et R. 8, duquel il ressort que B.X.________ a pris la décision de vider le garage à la suite d’une conversation avec le recourant : « M. A.________ m’a dit, en présence de ma femme, qu'on pouvait alors débarrasser le garage vu qu'il ne donnait pas suite au courrier. Vu que ma femme ne connaît pas grand- chose à ces procédures, j'ai alors pris les choses en main. [...] Dans l'intervalle, j'avais eu la conversation avec M. A.________ que j'ai évoqué précédemment, qui m'avait dit que je pouvais vider ce box »). Le recourant a de plus admis que la procédure légale pour procéder à l'évacuation des locaux loués ensuite d’une expulsion pour cessation de paiement des loyers n'avait pas été respectée « par souci de 12J001</w:t>
      </w:r>
    </w:p>
    <w:p>
      <w:r>
        <w:t>- 9 - simplification, d'économie et de réalisme », au vu du « laxisme de M. E.________ » et qu'il en avait discuté avec les époux (PV aud. 3, R. 11). Le recourant savait parfaitement que la manière de procéder n'était pas conforme aux dispositions légales en la matière, puisqu'il a déclaré qu'« en général, nous passons par la justice de Paix ou le Tribunal des Baux et loyer » et qu'« en principe, nous traitons ce genre de procédure par un bureau d'avocat » ou « auprès d'agents d'affaires » (PV aud. 3, R. 10 ; PV aud. 12, ll. 508 ss). Il ne ressort en outre pas des déclarations du recourant, ni d’ailleurs de celles des époux X.________, qui n'ont jamais eu à faire de procédure d'expulsion (PV aud. 12, ll. 273 ss), que le recourant aurait correctement informé ces derniers de la non- conformité de cette procédure, respectivement qu'il leur aurait donné les renseignements utiles, en particulier s’agissant des risques particuliers que la stratégie (illégale) adoptée pouvait avoir (cf. ATF 133 III 97 consid. 7.2). On déduit en outre de leurs déclarations que si ces derniers avaient été correctement informés des conséquences de la procédure entreprise, ils auraient pris des décisions différentes (PV aud. 2, R. 14 : « j’ai fait confiance à ma fiduciaire, pour agir dans les règles » ; PV aud. 12, l. 293 : « on a fait confiance et voilà »). Du moins le recourant ne prétend pas le contraire (PV aud. 12, ll. 323 ss : « M. A.________ explique qu'il a donné connaissance de la procédure aux époux X.________, que dans pareil cas on devrait demander l'intervention de la Justice de paix mais que cela faisait 4 mois qu'il n'avait pas eu de nouvelle du locataire, que le locataire avait abandonné les lieux. Ça s'est arrêté là. » ; PV aud. 1, R. 16, déclarations de M. X.________ : « Je n'étais pas informé des démarches à faire. Comme déjà expliqué précédemment, nous avons donné mandat à la fiduciaire de résilier le bail à loyer. De ce fait, j'imagine qu'ils connaissent les procédures légales pour l'évacuation des locaux »). Dès lors, en suggérant aux époux X.________ de procéder en violation des dispositions légales en la matière (cf. notamment art. 257d CO, 337 CPC, 5 al. 1 ch. 30 CDPJ), alors qu'ils lui faisaient confiance et sans les informer des possibles conséquences, le recourant n'a pas rempli avec soin la mission qui lui était confiée. Le recourant ne prouve pas que 12J001</w:t>
      </w:r>
    </w:p>
    <w:p>
      <w:r>
        <w:t>- 10 - la violation de son devoir de diligence serait intervenue sans faute de sa part. Il se contente de soutenir qu'il ne posséderait pas les connaissances nécessaires dans ce domaine, dès lors qu'il ne serait pas juriste. Outre que son ignorance dans ce domaine est très douteuse, dès lors qu'il est le seul administrateur de la société Fiduciaire A.________ SA inscrite au Registre du commerce depuis le 11 juin 1990, dont le but est précisément l'activité de gérance immobilière, on ne voit pas ce qui l'empêchait de refuser le mandat ou, le cas échéant, de s'adresser à un avocat ou à un agent d’affaires comme il semble d'ailleurs avoir pour habitude de le faire dans ce genre de cas (cf. ATF 128 III 22 consid. 2c). Partant, on doit retenir que le recourant a bien fautivement violé ses devoirs de mandataire découlant de l'art. 398 al. 2 CO. Ce comportement illicite et fautif du recourant se trouve en outre en relation de causalité avec l'ouverture de l'instruction pénale, et donc avec les frais de procédure.</w:t>
      </w:r>
    </w:p>
    <w:p>
      <w:r>
        <w:rPr>
          <w:b/>
        </w:rPr>
        <w:t>E. 4.1</w:t>
      </w:r>
    </w:p>
    <w:p>
      <w:r>
        <w:t>Le recourant fait ensuite valoir une violation de l’art. 310 CPP. Selon lui, en application de cette disposition et faute pour la plainte pénale d’avoir été dirigée contre lui, voire contre inconnu, aucune instruction n’aurait dû être ouverte à son encontre. Le Ministère public aurait fait preuve d’un excès de zèle en procédant contre lui, ce d’autant plus qu’E.________ a déclaré qu’il n’avait « rien contre M. A.________ », ce que la Procureure aurait dû interpréter comme une renonciation à déposer plainte, respectivement un retrait de toute éventuelle plainte pénale à son encontre.</w:t>
      </w:r>
    </w:p>
    <w:p>
      <w:r>
        <w:rPr>
          <w:b/>
        </w:rPr>
        <w:t>E. 4.2.1</w:t>
      </w:r>
    </w:p>
    <w:p>
      <w:r>
        <w:t>Selon l'art. 30 al. 1 CP (Code pénal suisse du 21 décembre 1937 ; RS 311.0), si une infraction n'est punie que sur plainte – ce qui est le cas des infractions de soustraction d’une chose mobilière (art. 141 CP), de dommages à la propriété (art. 144 CP) et de violation de domicile (art. 186 CP) –, toute personne lésée peut porter plainte contre l'auteur. Le 12J001</w:t>
      </w:r>
    </w:p>
    <w:p>
      <w:r>
        <w:t>- 11 - droit de porter plainte se prescrit par trois mois, délai qui court du jour où l'ayant droit a connu l'auteur de l'infraction (art. 31 CP). Sous la note marginale « Indivisibilité », l'art. 32 CP dispose que,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(ATF 143 IV 104 consid. 5.1 ; 132 IV 97 consid. 3.3.1). Par participants, on entend les coauteurs, les instigateurs et les complices (ATF IV 104 consid. 5.1 ; TF 6B_1452/2020 du 18 mars 2021 consid. 1.1).</w:t>
      </w:r>
    </w:p>
    <w:p>
      <w:r>
        <w:rPr>
          <w:b/>
        </w:rPr>
        <w:t>E. 4.2.2</w:t>
      </w:r>
    </w:p>
    <w:p>
      <w:r>
        <w:t>L’art. 33 CP traite du retrait de la plainte.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 Le retrait de plainte constitue une déclaration de volonté. Même si celle-ci peut résulter d'actes concluants, la volonté de retirer la plainte doit être exprimée de manière non équivoque (ATF 143 IV 104 consid. 5.1 ; 89 IV 57 consid. 3a ; TF 6B_234/2012 du 15 septembre 2012 consid. 2.1).</w:t>
      </w:r>
    </w:p>
    <w:p>
      <w:r>
        <w:rPr>
          <w:b/>
        </w:rPr>
        <w:t>E. 4.3</w:t>
      </w:r>
    </w:p>
    <w:p>
      <w:r>
        <w:t>En l'espèce, E.________ a indiqué, dans sa plainte pénale, que les époux X.________ avaient commandé et fait acheminer ses affaires à la déchetterie. Certes, il n'a pas mentionné expressément le recourant. Toutefois, compte tenu des déclarations du recourant et de celles des époux X.________ (cf. consid. 2.3 supra), les autorités pénales pouvaient soupçonner le recourant d'avoir joué un rôle dans la commission des faits, à tout le moins sous la forme d’une participation accessoire (sur la notion d'instigation : cf. art. 24 al. 1 CP ; ATF 144 IV 265 consid. 2.3.2), et partant ouvrir une instruction, respectivement considérer que la plainte déposée expressément contre les époux X.________ déployait également des effets contre le recourant en vertu du principe d'indivisibilité. Le fait qu'E.________ ait déclaré le 9 juillet 2024 qu'il n'avait « rien contre M. 12J001</w:t>
      </w:r>
    </w:p>
    <w:p>
      <w:r>
        <w:t>- 12 - A.________ » n'est pas de nature à modifier cette appréciation. De plus et au contraire de ce que prétend le recourant, cette déclaration d'E.________ ne saurait être considérée comme étant l'expression d'une volonté non équivoque de retirer sa plainte pénale. C'est donc sans excès de zèle que l'enquête pénale a été ouverte contre A.________.</w:t>
      </w:r>
    </w:p>
    <w:p>
      <w:r>
        <w:rPr>
          <w:b/>
        </w:rPr>
        <w:t>E. 5</w:t>
      </w:r>
    </w:p>
    <w:p>
      <w:r>
        <w:t>Il s'ensuit que c'est à bon droit et sans violer le principe de la présomption d'innocence que le Ministère public a mis les frais afférents à la procédure à la charge du recourant, ceux-ci demeurant en lien de causalité avec son comportement fautif, et a refusé de lui allouer une indemnité à forme de l'art. 429 al. 1 let. a CPP.</w:t>
      </w:r>
    </w:p>
    <w:p>
      <w:r>
        <w:rPr>
          <w:b/>
        </w:rPr>
        <w:t>E. 6</w:t>
      </w:r>
    </w:p>
    <w:p>
      <w:r>
        <w:t>En définitive, le recours, manifestement mal fondé, doit être rejeté sans échange d’écritures (art. 390 al. 2 CPP) et l’ordonnance querellée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Pour les mêmes motifs, il n’y a pas lieu de lui allouer d’indemnité au titre de l’art. 429 CPP pour la procédure de recours. Par ces motifs, la Juge unique prononce : I. Le recours est rejeté. II. L’ordonnance du 6 juin 2025 est confirmée. III. Les frais d’arrêt, par 990 fr. (neuf cent nonante francs), sont mis à la charge d’A.________. 12J001</w:t>
      </w:r>
    </w:p>
    <w:p>
      <w:r>
        <w:t>- 13 - IV. L’arrêt est exécutoire. La Juge unique : La greffière : Du Le présent arrêt est notifié par l’envoi d’une copie complète à : - Me Pierre-Xavier Luciani, avocat (pour A.________),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