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PE23.015845 vom 19. Februar 2024</w:t>
      </w:r>
    </w:p>
    <w:p>
      <w:r>
        <w:t>VD Tribunal cantonal, 2024-02-19, FR</w:t>
      </w:r>
    </w:p>
    <w:p>
      <w:r>
        <w:rPr>
          <w:b/>
        </w:rPr>
        <w:t xml:space="preserve">Quelle: </w:t>
      </w:r>
      <w:r>
        <w:t>https://mcp.opencaselaw.ch/entscheid/vd_gerichte_PE23.015845</w:t>
      </w:r>
    </w:p>
    <w:p>
      <w:r>
        <w:t>FR: VD_GERICHTE PE23.015845 du 19 février 2024</w:t>
      </w:r>
    </w:p>
    <w:p>
      <w:r>
        <w:t>IT: VD_GERICHTE PE23.015845 del 19 febbraio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est recevable.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- 4 -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3.1</w:t>
      </w:r>
    </w:p>
    <w:p>
      <w:r>
        <w:t>Le recourant fait valoir que, sur la base du contrat litigieux, seul un montant maximal de 14'649 fr. 55 pourrait faire l’objet d’une prétention de [...], si l’on ne tient pas compte des travaux prévus et non- exécutés, de sorte que la poursuite introduite pour 32'440 fr. 35, soit un montant de plus du double du solde éventuel, est excessive. Il serait ainsi manifeste que la démarche consiste à l’inciter à céder à la pression subie par la notification du commandement de payer et à le contraindre à renoncer à faire valoir ses droits relatifs aux travaux non exécutés ou mal exécutés. Le recourant affirme par ailleurs que le Ministère public n’a pas</w:t>
      </w:r>
    </w:p>
    <w:p>
      <w:r>
        <w:t>- 5 - pris en compte la profession du recourant, dont [...] connaissait les implications, soit qu’il a dû informer son employeur de la poursuite interjetée à son encontre, de sorte qu’il s’expose outre aux conséquences négatives ordinaires de poursuites, à des conséquences professionnelles. Le recourant soutient encore que le Ministère public ne pouvait pas retenir que les prétentions de l’entrepreneur n’étaient pas dénuées de tout fondement et qu’il aurait dû se demander pourquoi [...], qui disposait d’une assurance de protection juridique, n’avait pas agi sur le fond et avait attendu neuf mois avant d’introduire des poursuites.</w:t>
      </w:r>
    </w:p>
    <w:p>
      <w:r>
        <w:rPr>
          <w:b/>
        </w:rPr>
        <w:t>E. 3.2</w:t>
      </w:r>
    </w:p>
    <w:p>
      <w:r>
        <w:t>Conformément à l'art. 181 CP, se rend coupable de contrainte celui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122 IV 322 consid. 1a;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w:t>
      </w:r>
    </w:p>
    <w:p>
      <w:r>
        <w:t>- 6 - consid. 3.2.1; ATF 137 IV 326 consid. 3.3.1; TF 6B_637/2022 du 29 septembre 2022 consid. 5.1.2;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TF 6B_1407/2021 du 7 novembre 2022 consid. 2.1; TF 6B_1116/2021 du 22 juin 2022 consid. 2.1; TF 6B_1082/2021 du 18 mars 2022 consid. 2.1; TF 6B_124/2017 du 27 octobre 2017 consid. 2.1). Lorsque la victime ne se laisse pas intimider et n'adopte pas le comportement voulu par l'auteur, ce dernier est punissable de tentative de contrainte (art. 22 al. 1 CP; ATF 129 IV 262;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t>- 7 -</w:t>
      </w:r>
    </w:p>
    <w:p>
      <w:r>
        <w:rPr>
          <w:b/>
        </w:rPr>
        <w:t>E. 4</w:t>
      </w:r>
    </w:p>
    <w:p>
      <w:r>
        <w:t>En l’espèce, [...] a fait notifier au recourant des poursuites à hauteur de 32'440 fr. 85 en invoquant le fait que des travaux supplémentaires avaient été exécutés. Les travaux commandés s’élevaient à 54'649 fr. 55 et le recourant avait versé des acomptes de 40'000 francs. Le recourant affirme que ce montant en poursuite est beaucoup trop élevé, d’autant que les travaux sont affectés de défauts et que nombre de travaux commandés n’ont pas été exécutés. Or il n’appartient pas au juge pénal de statuer sur un litige civil relatif à un contrat d’entreprise. On ne saurait, dans ces circonstances, considérer, en l’état, que les travaux sont entachés de défauts ou n’ont pas entièrement été exécutés, même si ce n’est pas invraisemblable. Par ailleurs, on ne saurait non plus retenir que des travaux supplémentaires, qui seraient alors d’une valeur ne pouvant excéder 14'649 fr. 55 comme l’allègue le recourant (54'649 fr. 55 - 40'000 fr ; cf. recours, ch. 2 et 16), n’ont pas été exécutés. Ainsi, on ne peut pas, en l’état et au vu du dossier, considérer que la réquisition de poursuite ayant abouti à la notification du commandement de payer la somme de 32’440 fr. 35 est illicite, ce qui correspondrait à 14'649 fr. 55 de travaux supplémentaires. Le fait que la poursuite a été requise après que les parties ont tenté de trouver un accord, que le recourant a dû relancer l’entrepreneur et que ce dernier a expliqué qu’il faisait appel à son assurance de protection juridique n’implique par ailleurs pas que le commandement de payer est illicite. On ne peut en outre pas retenir que, du fait de sa position de cadre bancaire, position que [...] connaissait, le recourant est plus vulnérable qu’une personne ordinaire du seul fait qu’il a dû informer ses employeurs de la poursuite en cours. Si effectivement on peut s’attendre d’un cadre bancaire qu’il ne fasse pas l’objet d’actes de défauts de biens ou de poursuites, ses employeurs, tout comme le recourant, ne peuvent pas non plus ignorer que les litiges sont courants en matière de contrats d’entreprise, et qu’il n’est pas inhabituel que des commandements de payer soient notifiés, sans que cela n’entache la probité de l’éventuel débiteur.</w:t>
      </w:r>
    </w:p>
    <w:p>
      <w:r>
        <w:t>- 8 - En définitive, la voie de la poursuite ne paraît pas insolite et le montant réclamé par ce biais n’est pas suffisamment important pour qu’il puisse être retenu qu’il s’agit d’un moyen de pression illicite sur le recourant.</w:t>
      </w:r>
    </w:p>
    <w:p>
      <w:r>
        <w:rPr>
          <w:b/>
        </w:rPr>
        <w:t>E. 5</w:t>
      </w:r>
    </w:p>
    <w:p>
      <w:r>
        <w:t>Les éléments constitutifs d’une quelconque infraction, s’agissant singulièrement de celle de tentative de contrainte, ne sont ainsi manifestement pas réunis. C’est donc à juste titre que le Ministère public a refusé d’entrer en matière sur la plainte.</w:t>
      </w:r>
    </w:p>
    <w:p>
      <w:r>
        <w:rPr>
          <w:b/>
        </w:rPr>
        <w:t>E. 6</w:t>
      </w:r>
    </w:p>
    <w:p>
      <w:r>
        <w:t>En définitive, le recours, manifestement mal fondé, doit être rejeté, sans échange d'écritures (art. 390 al. 2 CPP), et l’ordonnance attaquée confirmée. Les frais de la procédure de recours, constitués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10 novembre 2023 est confirmée.</w:t>
      </w:r>
    </w:p>
    <w:p>
      <w:r>
        <w:t>- 9 - III. Les frais d’arrêt, par 880 fr. (huit cent huitante francs), sont mis à la charge de G.________. IV. L’arrêt est exécutoire. Le président : Le greffier : Du Le présent arrêt, dont la rédaction a été approuvée à huis clos, est notifié, par l'envoi d'une copie complète, à : - Me Benjamin Schwab, avocat (pour G.________),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