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PE23.015411 vom 12. Oktober 2023</w:t>
      </w:r>
    </w:p>
    <w:p>
      <w:r>
        <w:t>VD Tribunal cantonal, 2023-10-12, FR</w:t>
      </w:r>
    </w:p>
    <w:p>
      <w:r>
        <w:rPr>
          <w:b/>
        </w:rPr>
        <w:t xml:space="preserve">Quelle: </w:t>
      </w:r>
      <w:r>
        <w:t>https://mcp.opencaselaw.ch/entscheid/vd_gerichte_PE23.015411</w:t>
      </w:r>
    </w:p>
    <w:p>
      <w:r>
        <w:t>FR: VD_GERICHTE PE23.015411 du 12 octobre 2023</w:t>
      </w:r>
    </w:p>
    <w:p>
      <w:r>
        <w:t>IT: VD_GERICHTE PE23.015411 del 12 ottobre 2023</w:t>
      </w:r>
    </w:p>
    <w:p>
      <w:pPr>
        <w:pStyle w:val="Heading2"/>
      </w:pPr>
      <w:r>
        <w:t>Erwägungen</w:t>
      </w:r>
    </w:p>
    <w:p>
      <w:r>
        <w:rPr>
          <w:b/>
        </w:rPr>
        <w:t>E. 1</w:t>
      </w:r>
    </w:p>
    <w:p>
      <w:r>
        <w:t>CPP) et dans les formes prescrites (art. 385 al. 1 CPP), le recours est recevable.</w:t>
      </w:r>
    </w:p>
    <w:p>
      <w:r>
        <w:rPr>
          <w:b/>
        </w:rPr>
        <w:t>E. 1.1</w:t>
      </w:r>
    </w:p>
    <w:p>
      <w:r>
        <w:t>Les parties peuvent attaquer une ordonnance de non-entrée en matière rendue par le Ministère public en application de l’art. 310 CPP (Code de procédure pénale suisse du 5 octobre 2007 ; RS 312.0)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d'organisation judiciaire du 12 décembre 1979 ; BLV 173.01]).</w:t>
      </w:r>
    </w:p>
    <w:p>
      <w:r>
        <w:rPr>
          <w:b/>
        </w:rPr>
        <w:t>E. 1.2</w:t>
      </w:r>
    </w:p>
    <w:p>
      <w:r>
        <w:t>En l’espèce, déposé en temps utile devant l’autorité compétente par la partie plaignante qui a qualité pour recourir (art. 382 al.</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w:t>
      </w:r>
    </w:p>
    <w:p>
      <w:r>
        <w:t>- 4 -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6B_670/2021 du 7 décembre 2021 consid. 3.2). En d’autres termes, il faut être certain que l’état de fait ne constitue aucune infraction. Une ordonnance de non- 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6B_375/2020 du 9 juillet 2020 consid. 3.2 et les références citées ; TF 6B_541/2017 du 20 décembre 2017 consid. 2.2).</w:t>
      </w:r>
    </w:p>
    <w:p>
      <w:r>
        <w:rPr>
          <w:b/>
        </w:rPr>
        <w:t>E. 3</w:t>
      </w:r>
    </w:p>
    <w:p>
      <w:r>
        <w:t>Le recourant, qui soutient avoir été victime d’une escroquerie, reproche au procureur d’avoir refusé d’entrer en matière sur sa plainte au seul motif que le prévenu avait fait usage de son droit au silence. Il lui fait également grief de ne pas avoir entendu [...], soit le « [...]» qui serait intervenu pour faire cesser le harcèlement dont il était victime. En outre, il fait valoir qu’S.________ aurait lui-même fourni à la police la preuve de son escroquerie, soit le message qui aurait été transmis à sa femme.</w:t>
      </w:r>
    </w:p>
    <w:p>
      <w:r>
        <w:rPr>
          <w:b/>
        </w:rPr>
        <w:t>E. 3.1</w:t>
      </w:r>
    </w:p>
    <w:p>
      <w:r>
        <w:t>Selon l’art. 146 CP, se rend coupable d’escroquerie et sera puni d’une peine privative de liberté de cinq ans au plus ou d’une peine pécuniaire, celui qui, dans le dessein de se procurer ou de procurer à un</w:t>
      </w:r>
    </w:p>
    <w:p>
      <w:r>
        <w:t>- 5 -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4.3 ; ATF 128 IV 18 consid. 3a). Elle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En résumé, il faut donc que l’auteur ait agi avec un raffinement ou une rouerie particulière, de manière si subtile que même une victime faisant preuve d’esprit critique se laisse tromper (Dupuis et al. [éd.], Petit Commentaire du Code pénal, 2e éd., Bâle 2017, nn. 11 ss ad art. 146 CP et les références citées). L’erreur de la dupe provoquée par la tromperie astucieuse doit l’avoir déterminée à effectuer des actes (ou omissions) préjudiciables à ses intérêts pécuniaires ou à ceux d’un tiers. Il doit ainsi exister un rapport de causalité entre la tromperie astucieuse et l’erreur (sauf en cas d’erreur préexistante dans laquelle la dupe a été confortée), entre l’erreur et l’acte de disposition et, enfin, entre ce dernier et un dommage (ATF 128 IV 256 consid. 2 ; ATF 115 IV 32 consid. 3a ; Corboz, Les infractions en droit suisse, vol. I, 3e éd., Berne 2010, nn. 31 et 38 ad art. 146 CP ; Dupuis et al., op. cit., n. 32 ad art. 146 CP).</w:t>
      </w:r>
    </w:p>
    <w:p>
      <w:r>
        <w:t>- 6 -</w:t>
      </w:r>
    </w:p>
    <w:p>
      <w:r>
        <w:rPr>
          <w:b/>
        </w:rPr>
        <w:t>E. 3.2</w:t>
      </w:r>
    </w:p>
    <w:p>
      <w:r>
        <w:t>Le recourant expose, pour autant qu’on le comprenne, qu’il a voulu envoyer un sms à un nommé [...], par l’entremise d’une personne extérieure aux EPO. Ce serait la femme de son codétenu S.________ qui aurait agi ou du moins – le recourant étant peu clair à ce sujet – aurait accepté de le faire mais ne l’aurait finalement pas fait. S.________ aurait ensuite raconté au recourant qu’en raison de ce qui précède, sa femme avait été amendée par la police d’un montant de 823 fr. puis incarcérée trois jours à la Prison de Lonay. Se sentant menacé et harcelé, le recourant indique avoir donné cinq cartes téléphoniques à S.________, qui lui réclamait le remboursement de la somme précitée. En l’occurrence, il apparaît d’emblée qu’aucun acte d’enquête ne pourra apporter la preuve d’une quelconque infraction à la charge d’S.________, celui-ci ayant fait usage de son droit au silence. On ne distingue notamment pas en quoi [...], surveillant au sein des EPO, pourrait témoigner de ce qui s’est dit ou ne s’est pas dit entre les deux intéressés, le recourant ne soutenant pas que ce témoin aurait été présent lors de ses conversations avec S.________. Tout au plus, pourra-t-il confirmer que H.________ est venu se plaindre auprès de lui de son codétenu, ce qui n’a toutefois aucune valeur probante s’agissant de la réalité des faits dénoncés. La Chambre de céans ne voit pas non plus en quoi le message remis par S.________ à la direction des EPO, et qui aurait été rédigé par le recourant, permettrait d’établir que son codétenu l’aurait contraint ou aurait tenté de le contraindre à lui verser de l’argent. Partant, c’est à juste titre que le Ministère public a refusé d’entrer en matière sur la plainte pénale de H.________. Au surplus, rien dans les faits dénoncés par le recourant ne permet de conclure à l’existence d’une tromperie astucieuse au sens de la jurisprudence susmentionnée (cf. supra consid. 3.1), de sorte que l’infraction d’escroquerie ne paraît de toute manière pas réalisée.</w:t>
      </w:r>
    </w:p>
    <w:p>
      <w:r>
        <w:t>- 7 -</w:t>
      </w:r>
    </w:p>
    <w:p>
      <w:r>
        <w:rPr>
          <w:b/>
        </w:rPr>
        <w:t>E. 4</w:t>
      </w:r>
    </w:p>
    <w:p>
      <w:r>
        <w:t>En définitive, le recours, manifestement mal fondé, doit être rejeté sans échange d’écritures (art. 390 al. 2 CPP) et l’ordonnance attaquée confirmée. Vu le sort du recours, les frais de la procédure, constitués en l’espèce du seul émolument d'arrêt (art. 422 al. 1 CPP), par 770 fr. (art. 20 al. 1 TFIP [tarif des frais de procédure et indemnités en matière pénale du 28 septembre 2010 ; BLV 312.03.1]), seront mis à la charge du recourant, qui succombe (art. 428 al. 1 CPP). Enfin, la requête tendant à l’octroi de l’assistance judiciaire gratuite pour la procédure de recours doit être rejetée, celui-ci étant d’emblée dénué de toute chance de succès (TF 6B_1322/2021 du 11 mars 2022 consid. 4.1 et les références citées ; cf. également CREP 25 octobre 2022/802 ; CREP 26 juillet 2022/508 ; CREP 1er juin 2022/387). Par ces motifs, la Chambre des recours pénale prononce : I. Le recours est rejeté. II. L’ordonnance du 21 septembre 2023 est confirmée. III. La demande d’assistance judiciaire est rejetée. IV. Les frais d’arrêt, par 770 fr. (sept cent septante francs), sont mis à la charge de H.________. V. L’arrêt est exécutoire. Le vice-président : Le greffier :</w:t>
      </w:r>
    </w:p>
    <w:p>
      <w:r>
        <w:t>- 8 - Du Le présent arrêt, dont la rédaction a été approuvée à huis clos, est notifié, par l'envoi d'une copie complète, à : - M. H.________,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