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PE23.015343 vom 24. Januar 2024</w:t>
      </w:r>
    </w:p>
    <w:p>
      <w:r>
        <w:t>VD Tribunal cantonal, 2024-01-24, FR</w:t>
      </w:r>
    </w:p>
    <w:p>
      <w:r>
        <w:rPr>
          <w:b/>
        </w:rPr>
        <w:t xml:space="preserve">Quelle: </w:t>
      </w:r>
      <w:r>
        <w:t>https://mcp.opencaselaw.ch/entscheid/vd_gerichte_PE23.015343</w:t>
      </w:r>
    </w:p>
    <w:p>
      <w:r>
        <w:t>FR: VD_GERICHTE PE23.015343 du 24 janvier 2024</w:t>
      </w:r>
    </w:p>
    <w:p>
      <w:r>
        <w:t>IT: VD_GERICHTE PE23.015343 del 24 gennaio 2024</w:t>
      </w:r>
    </w:p>
    <w:p>
      <w:pPr>
        <w:pStyle w:val="Heading2"/>
      </w:pPr>
      <w:r>
        <w:t>Erwägungen</w:t>
      </w:r>
    </w:p>
    <w:p>
      <w:r>
        <w:rPr>
          <w:b/>
        </w:rPr>
        <w:t>E. 29</w:t>
      </w:r>
    </w:p>
    <w:p>
      <w:r>
        <w:t>mars 2018/39 ; Chaix, Introduction au recours de la nouvelle procédure civile fédérale, in SJ 2009 II 257 ss, n. 17, p. 267). Dès lors, les pièces produites par l’appelant à l’appui de son appel sont irrecevables. 3. 3.1 L'appelant reproche au premier juge d'avoir rejeté ses conclusions en paiement du tort moral et de l'avoir renvoyé à agir au civil pour le solde de ses prétentions. 3.2 Conformément à l'art. 126 al. 1 let. a CPP, le tribunal statue sur les conclusions civiles présentées lorsqu'il rend un verdict de culpabilité à l'encontre du prévenu. Selon l'art. 126 al. 2 CPP, le juge renvoie la partie plaignante à agir par la voie civile lorsque la partie plaignante n'a pas chiffré ses conclusions de manière suffisamment précise ou ne les a pas suffisamment motivées (let. b) ou lorsque le prévenu est acquitté alors que l'état de fait n'a pas été suffisamment établi (let. d).</w:t>
      </w:r>
    </w:p>
    <w:p>
      <w:r>
        <w:t>- 6 - Aux termes de l'art. 41 al. 1 CO (Code des obligations ; RS 220),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l, 3e éd. 2021, n. 6 ad art. 41 CO).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 1072/2020 du 26 mai 2021 consid. 5.1 ; TF 6B_768/2018 du 13 février 2019 consid. 3.1.2 ; TF 6B_213/2012 du 22 novembre 2012 consid. 3.1 in SJ 2013 1169 ; cf. aussi ATF 141 III 97 consid. 11.2).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w:t>
      </w:r>
    </w:p>
    <w:p>
      <w:r>
        <w:t>- 7 -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 4 CC), le juge dispose d'un large pouvoir d'appréciation. 3.3 Le premier juge a considéré que l’atteinte physique – soit une instabilité palmaire de la métacarpo-phalangienne du pouce gauche nécessitant une opération de la main gauche – ne paraissait pas suffisamment grave pour donner droit à une indemnité pour tort moral au sens de l’art. 47 CO. Les problèmes de sommeil, d’alimentation et d’anxiété évoqués par la victime n’étaient selon lui pas non plus suffisamment graves pour justifier une indemnisation. Cette appréciation ne saurait être suivie. Le prévenu s'est rendu coupable de brigandage, commettant à l’encontre de l'appelant un acte illicite avec violences physiques. Ce dernier invoque des lésions physiques et une atteinte illicite à sa personnalité, justifiant selon lui tous deux l’allocation d’un montant à titre de réparation morale. En substance, il fait valoir qu’en chutant après avoir été projeté au sol par J.________, il s'est lésé l'articulation métacarpo-phalangienne du pouce gauche, sans tuméfaction ni instabilité du ligament collatéral ulnaire, nécessitant une immobilisation et causant un arrêt de travail. Une intervention chirurgicale</w:t>
      </w:r>
    </w:p>
    <w:p>
      <w:r>
        <w:t>- 8 - s’est ensuite avérée nécessaire, avec un arrêt de travail prévisible jusqu’à trois mois après l’intervention. Par ailleurs, il dit être angoissé depuis les faits, présenter des troubles du sommeil et de la concentration et avoir peur de se faire à nouveau agresser, au point d’avoir dû se tourner vers un suivi psychologique. Les lésions physiques et les incapacités de travail entre le 10 août 2023, soit la date des événements, et le 8 octobre 2023 sont attestées par des pièces qui figurent au dossier (P. 37). Ces atteintes sont d’une intensité suffisante pour justifier l’allocation d’une indemnité à titre de tort moral. Le montant requis, à savoir 3'000 fr., paraît au demeurant adéquat dans sa quotité. 4. Ce qui précède rend sans objet les autres griefs soulevés par le recourant, notamment la violation de son droit d’être entendu. 5. En définitive, l’appel doit être admis et le jugement attaqué réformé dans le sens des considérants qui précèdent. Selon l’art. 136 al. 3 CPP, en vigueur depuis le 1er janvier 2024, lors de la procédure de recours, l’assistance judiciaire gratuite en faveur de la partie plaignante doit faire l’objet d’une nouvelle demande. En l’espèce, il y a lieu d’admettre la requête d’assistance judiciaire gratuite d’X.________, les conditions à son octroi étant réunies. Me Samuel Pahud, déjà consulté, sera désigné en qualité de conseil juridique gratuit pour la procédure d’appel. Le 28 juin 2024, Me Pahud a produit une liste des opérations faisant état de 2h57 d’activité d’avocat et de 7h27 d’activité d’avocat- stagiaire. Il convient de retrancher une durée de 18 minutes, correspondant à l’ouverture du dossier et à la rédaction d’un bordereau (les 16 février et 4 mars 2024), lesquels constituent un pur travail de secrétariat non indemnisable. C’est en définitive une indemnité de 513 fr., correspondant à 2h51 de travail d’avocat au tarif horaire de 180 fr. (art. 2 al. 1 let. a et 3 al. 2 RAJ [règlement sur l'assistance judiciaire en matière civile du 7 décembre 2010 ; BLV 211.02.3] par renvoi de l'art. 26b TFIP) et de 797 fr. 50, correspondant à 7h15 de travail d’avocat-stagiaire au tarif</w:t>
      </w:r>
    </w:p>
    <w:p>
      <w:r>
        <w:t>- 9 - horaire de 110 fr. (art. 2 al. 1 let. b RAJ), à laquelle il convient d’ajouter des débours forfaitaires à concurrence de 2 %, par 26 fr. 20, et la TVA, par 108 fr. 30, soit un total de 1'445 fr., qui sera allouée au conseil juridique gratuit. Me Christoph Loetscher, qui avait été désigné comme défenseur d’office de J.________, a requis d’être désigné à nouveau en cette qualité pour la procédure d’appel. Cette requête est superflue. En effet, s’agissant du prévenu, le droit à une défense d’office vaut pour toutes les étapes de la procédure (Harari/Jakob/Santamaria, in : Jeanneret et al. [éd.], Code de procédure pénale suisse, Commentaire romand, 2e éd. 2019, nn. 1 ss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d’appel d’un défenseur d’office déjà désigné par l’autorité inférieure, à la différence de ce que prévoit l’art. 119 al. 5 CPC (Code de procédure civile du 19 décembre 2008 ; RS 272) en matière civile. Le 28 juin 2024, Me Loetscher a produit une liste des opérations faisant état de 3h33 d’activité d’avocat et de 7h15 d’activité d’avocat- stagiaire. Cette durée est excessive, l’opération du 27 juin 2024 devant être réduite de moitié. C’est en définitive une indemnité de 639 fr., correspondant à 3h33 de travail d’avocat au tarif horaire de 180 fr. et de 467 fr. 50, correspondant à 4h15 de travail d’avocat-stagiaire au tarif horaire de 110 fr., à laquelle il convient d’ajouter des débours forfaitaires à concurrence de 2 %, par 22 fr. 15, et la TVA, par 91 fr. 40, soit un total de 1'220 fr. 05, qui sera allouée au défenseur d’office. Vu l’issue de la cause, les frais de la procédure d’appel, par 3'655 fr. 05, constitués de l'émolument de jugement, par 990 fr. (art. 21 al. 1 TFIP [tarif des frais de procédure et indemnités en matière pénale du 28 septembre 2010 ; BLV 312.03.1]), ainsi que des indemnités allouées au conseil juridique gratuit d’X.________, par 1'445 fr., et au défenseur d’office</w:t>
      </w:r>
    </w:p>
    <w:p>
      <w:r>
        <w:t>- 10 - de J.________, par 1'220 fr. 05, seront mis à la charge de ce dernier, qui a conclu au rejet de l’appel et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