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PE23.015183 vom 31. Oktober 2023</w:t>
      </w:r>
    </w:p>
    <w:p>
      <w:r>
        <w:t>VD Tribunal cantonal, 2023-10-31, FR</w:t>
      </w:r>
    </w:p>
    <w:p>
      <w:r>
        <w:rPr>
          <w:b/>
        </w:rPr>
        <w:t xml:space="preserve">Quelle: </w:t>
      </w:r>
      <w:r>
        <w:t>https://mcp.opencaselaw.ch/entscheid/vd_gerichte_PE23.015183</w:t>
      </w:r>
    </w:p>
    <w:p>
      <w:r>
        <w:t>FR: VD_GERICHTE PE23.015183 du 31 octobre 2023</w:t>
      </w:r>
    </w:p>
    <w:p>
      <w:r>
        <w:t>IT: VD_GERICHTE PE23.015183 del 31 ottobre 2023</w:t>
      </w:r>
    </w:p>
    <w:p>
      <w:pPr>
        <w:pStyle w:val="Heading2"/>
      </w:pPr>
      <w:r>
        <w:t>Erwägungen</w:t>
      </w:r>
    </w:p>
    <w:p>
      <w:r>
        <w:rPr>
          <w:b/>
        </w:rPr>
        <w:t>E. 8</w:t>
      </w:r>
    </w:p>
    <w:p>
      <w:r>
        <w:t>août 2023 (cf. P 7, p. 2 « Préambule ») et de l’ordonnance du Tribunal des mesures de contrainte du 10 août 2023 (cf. consid. 6b sur l’existence de soupçons suffisants de culpabilité, pp. 2-3) que le recourant a été interpellé parce que deux autres personnes soupçonnées de se livrer à un trafic de produits cannabiques entre la France et la Suisse faisaient déjà l’objet d’enquêtes et que des observations policières ont permis de constater un échange de valises entre deux véhicules immatriculés en France, dont celui conduit par le recourant. Au demeurant, les faits énoncés sous chiffre 1 indiquent clairement que l’ampleur du trafic en</w:t>
      </w:r>
    </w:p>
    <w:p>
      <w:r>
        <w:t>- 9 - cause n’a pas pu être déterminée, de sorte qu’il paraît évident qu’à ce stade les faits reprochés à cet égard au recourant ne pouvaient pas faire l’objet d’une description plus détaillée. Ce sera précisément le but de l’instruction à venir. Mal fondé, le grief tiré de la violation du droit d’être entendu du recourant doit être rejeté. 2.3.2 Au surplus, les faits énoncés dans l’ordonnance attaquée, résumés ci-dessus (cf. consid. 2.3.1) constituent manifestement des indices sérieux et concrets de commission de l’infraction grave à la loi fédérale sur les stupéfiants (art. 19 al. 2 let. b LStup). Même si le recourant conteste toute autre participation que celle qu’il a admise en relation avec les deux transports précités, il importe de vérifier ses déclarations, et de situer son implication dans le trafic en cause, en particulier à quel niveau de celui-ci il évoluait, et si, comme il le prétend, il n’avait pas de liens avec les autres personnes identifiées ou à identifier. A cet égard, l’importance des quantités saisies dans son véhicule et à son domicile est un indice de son implication, et il paraît douteux que de telles quantités aient pu être confiées à un transporteur débutant. Au vu de ce qui précède, c’est à raison que le Ministère public n’est pas parti du principe que le recourant s’était pleinement et complètement expliqué sur ses activités délictueuses. Quant au fait que le recourant n’ait pas déjà été condamné pour infraction à la LStup, il n’est pas pertinent. En effet, la jurisprudence exige de prendre en compte l’éventuelle existence d’antécédents lorsque l’établissement d’un profil d’ADN est justifié par la perspective de commission d’infractions pénales futures ; or, en l’occurrence, comme on l’a dit, l’établissement d’un profil d’ADN du recourant se justifie avant tout pour élucider l’infraction pour laquelle il est poursuivi. Manifestement mal fondé, le grief relatif à l’absence d’indices de commission d’une infraction doit être rejeté. 2.3.3 Pour le surplus, le recourant ne développe pas d’autres arguments en lien avec la motivation de l’ordonnance attaquée,</w:t>
      </w:r>
    </w:p>
    <w:p>
      <w:r>
        <w:t>- 10 - notamment eu égard à la proportionnalité de la mesure en cause. En tout état de cause, comme le relève à juste titre le Ministère public, il importera d’analyser la marchandise saisie pour déterminer si, et où, l’ADN du recourant pourrait s’y trouver. Ces analyses permettront notamment de déterminer si le recourant n’a fait que de transporter la marchandise en cause, ou s’il a manipulé celle-ci et/ou participé à son conditionnement. Sur ce point, l’établissement du profil d’ADN du recourant pourra donc le cas échéant être une mesure d’instruction à sa décharge. Il s’ensuit que la mesure en cause est adéquate, en ce sens qu’elle est de nature à contribuer à l’établissement de la vérité. En outre, il n’existe pas d’autre mesure d’instruction moins incisive susceptible de permettre d’aboutir au même résultat, et le recourant n’en cite aucune. Enfin, au vu des quantités saisies, les faits reprochés au recourant sont graves ; au regard de ce qui précède, et notamment de cette gravité, l’atteinte aux intérêts privés du recourant reste conforme au principe de la proportionnalité. 3. Il résulte de ce qui précède que le recours, manifestement mal fondé, doit être rejeté sans échange d’écritures (art. 390 al. 2 CPP) et l’ordonnance du 16 octobre 2023 confirmée. Me Monica Mitrea, défenseur d’office de B.________, a produit une liste des opérations faisant état de 5 heures et 45 minutes d’activité nécessaire d’avocat pour la procédure de recours. Il convient en premier lieu de retrancher le courrier d’accompagnement du recours adressé au Tribunal cantonal et au Ministère public, qui relève d’une activité de secrétariat. En outre, dans la mesure où il s’agit d’un dossier que l’avocate maîtrisait déjà, peu volumineux et portant sur une matière simple dans laquelle la Chambre de céans a rendu de très nombreux arrêts, la durée de travail alléguée est excessive. Enfin, le recours était manifestement dénué de toute chance de succès. Au vu des éléments qui précèdent, il convient de retenir tout au plus une activité nécessaire d’avocat de 3 heures et 30 minutes au tarif horaire de 180 fr. (art. 2 al. 1 let. a et 3 al. 2</w:t>
      </w:r>
    </w:p>
    <w:p>
      <w:r>
        <w:t>- 11 - RAJ [Règlement sur l'assistance judiciaire en matière civile du 7 décembre 2010 ; BLV 211.02.3] par renvoi de l’art. 26b TFIP [Tarif des frais de procédure et indemnités en matière pénale du 28 septembre 2010 ; BLV 312.03.1]), soit des honoraires de 630 francs. S’y ajoutent des débours forfaitaires à hauteur de 2 % (art. 3bis al. 1 RAJ par renvoi de l’art. 26b TFIP), soit 12 fr. 60, et 7,7 % de TVA sur le tout, soit 49 fr. 50. L’indemnité d’office s’élève ainsi à 693 fr. au total en chiffres arrondis. Les frais de la procédure de recours, constitués en l'espèce de l'émolument d'arrêt, par 1’100 fr. (art. 20 al. 1 TFIP), et des frais imputables à la défense d'office (art. 422 al. 1 et 2 let. a CPP), seront mis à la charge du recourant, qui succombe (art. 428 al. 4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16 octobre 2023 est confirmée. III. L’indemnité allouée à Me Monica Mitrea, défenseur d’office de B.________, est fixée à 693 fr. (six cent nonante-trois francs). IV. Les frais d’arrêt, par 1’100 fr. (mille cent francs), ainsi que l’indemnité allouée à Me Monica Mitrea, par 693 fr. (six cent nonante-trois francs), sont mis à la charge de B.________. V. Le remboursement à l’Etat de l’indemnité allouée sous chiffre III ci-dessus ne sera exigible de B.________ que pour autant que sa situation financière le permette.</w:t>
      </w:r>
    </w:p>
    <w:p>
      <w:r>
        <w:t>- 12 - VI. L’arrêt est exécutoire. La présidente : Le greffier : Du Le présent arrêt, dont la rédaction a été approuvée à huis clos, est notifié, par l'envoi d'une copie complète, à : - Me Monica Mitrea (pour B.________), - Ministère public central, et communiqué à : - Mme la Procureure cantonale Strada, par l’envoi de photocopies.</w:t>
      </w:r>
    </w:p>
    <w:p>
      <w:r>
        <w:t>- 13 -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