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PE23.015096 vom 28. September 2023</w:t>
      </w:r>
    </w:p>
    <w:p>
      <w:r>
        <w:t>VD Tribunal cantonal, 2023-09-28, FR</w:t>
      </w:r>
    </w:p>
    <w:p>
      <w:r>
        <w:rPr>
          <w:b/>
        </w:rPr>
        <w:t xml:space="preserve">Quelle: </w:t>
      </w:r>
      <w:r>
        <w:t>https://mcp.opencaselaw.ch/entscheid/vd_gerichte_PE23.015096</w:t>
      </w:r>
    </w:p>
    <w:p>
      <w:r>
        <w:t>FR: VD_GERICHTE PE23.015096 du 28 septembre 2023</w:t>
      </w:r>
    </w:p>
    <w:p>
      <w:r>
        <w:t>IT: VD_GERICHTE PE23.015096 del 28 settembre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- 3 - En l’espèce, le recours a été déposé en temps utile, devant l’autorité compétente, par la partie plaignante qui a qualité pour recourir (art. 382 al. 1 CPP) et a, pour partie, été établi dans les formes prescrites (art. 385 al. 1 CPP), en dépit du caractère peu intelligible de certains allégués. Partant, il est recevable, sous la réserve de ce qui sera exposé au considérant 2.2 ci-dessous.</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6B_1177/2022 du 21 février 2023</w:t>
      </w:r>
    </w:p>
    <w:p>
      <w:r>
        <w:t>- 4 -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Avant de rendre une ordonnance de non-entrée en matière, le Ministère public n'a pas à prévenir les parties ni à leur donner la possibilité d'exercer leur droit d'être entendu, lequel sera assuré, le cas échéant, dans le cadre de la procédure de recours contre l'ordonnance de non- entrée en matière. Cette procédure permet aux parties de faire valoir tous leurs griefs - formels et matériels - auprès d'une autorité disposant d'une pleine cognition en fait et en droit (cf. art. 391 al. 1 et 393 al. 2 CPP; TF 6B_382/2022 du 12 septembre 2022 consid. 2.1.2 ; TF 6B_546/2021 du 11 avril 2022 consid. 3.1 ; TF 6B_1007/2020 du 13 avril 2021 consid. 2.3 ; TF 6B_1456/2017 du 14 mai 2018 consid. 2.1 ; TF 6B_892/2014 du 17 février 2015 consid. 2.1; TF 6B_43/2013 du 11 avril 2013 consid. 2.1 et les références citées).</w:t>
      </w:r>
    </w:p>
    <w:p>
      <w:r>
        <w:rPr>
          <w:b/>
        </w:rPr>
        <w:t>E. 2.2</w:t>
      </w:r>
    </w:p>
    <w:p>
      <w:r>
        <w:t>En l’espèce, le recourant se plaint d’abord d’une violation de son droit d’être entendu. Il n’étaye cependant pas ce moyen. Celui-ci ne remplit donc pas les exigences de motivation de l’art. 385 al. 1 CP et de la jurisprudence du Tribunal fédéral y relative. Quoi qu’il en soit, il suffit de rappeler à cet égard qu’une jurisprudence ancienne et constante prévoit que le Ministère public n'a pas à prévenir les parties ni à leur donner la possibilité d'exercer leur droit d'être entendu avant de rendre une ordonnance de non-entrée en matière, lequel sera assuré, le cas échéant, dans le cadre de la procédure de recours (arrêts cités au consid. 2.1.2 ci-dessus). Or, c’est dans la présente procédure que le recourant a pu faire valoir ses moyens, la Chambre des recours pénale disposant d’un pouvoir d’examen complet en fait et en droit. S’il était recevable, le moyen devrait être rejeté.</w:t>
      </w:r>
    </w:p>
    <w:p>
      <w:r>
        <w:t>- 5 -</w:t>
      </w:r>
    </w:p>
    <w:p>
      <w:r>
        <w:rPr>
          <w:b/>
        </w:rPr>
        <w:t>E. 2.3.1</w:t>
      </w:r>
    </w:p>
    <w:p>
      <w:r>
        <w:t>Le recourant reproche au Ministère public d’avoir considéré que les éléments constitutifs de l’infraction de faux dans les titres n’étaient manifestement pas réunis. Il fait valoir, en bref, que l’employé de chancellerie auteur de l’avis de réception du 18 juillet 2023 aurait agi dans le dessein de lui porter préjudice.</w:t>
      </w:r>
    </w:p>
    <w:p>
      <w:r>
        <w:rPr>
          <w:b/>
        </w:rPr>
        <w:t>E. 2.3.2</w:t>
      </w:r>
    </w:p>
    <w:p>
      <w:r>
        <w:t>Selon l’art. 251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(ch. 1, al. 1), ou aura, pour tromper autrui, fait usage d’un tel titre (ch. 1, al. 2). La notion de titre est définie par l’art. 110 al. 4 CP. Selon cette disposition, sont des titres tous les écrits destinés et propres à prouver un fait ayant une portée juridique et tous les signes destinés à prouver un tel fait.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Le document doit revêtir une crédibilité accrue et son destinataire pouvoir s'y fier raisonnablement. Tel est le cas lorsque certaines assurances objectives garantissent aux tiers la véracité de la déclaration (TF 6B_1270/2021 du 2 juin 2022 consid. 4.1.2, non publié aux ATF 148 IV 288; ATF 146 IV 258 consid. 1.1; ATF 144 IV 13 consid. 2.2.2 ; TF 6B_52/2022 et 6B_56/2022 du 16 mars 2023 consid. 4.1.3). Les infractions du droit pénal relatives aux titres protègent la confiance qui, dans les relations juridiques, est placée dans un titre comme moyen de preuve (ATF 142 IV 119 consid. 2.2; ATF 138 IV 130 consid. 2.1 p. 134). C'est pourquoi parmi les titres on ne trouve</w:t>
      </w:r>
    </w:p>
    <w:p>
      <w:r>
        <w:t>- 6 - notamment que les écrits destinés et propres à prouver un fait ayant une portée juridique.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ATF 142 IV 119 consid. 2.2; ATF 138 IV 130 consid. 2.2.1 p. 135; ATF 132 IV 57 consid. 5.1 p. 59). L’infraction de faux dans les titres est un délit de mise en danger abstraite. Il s’agit en outre d’un délit formel, aucun résultat particulier n’étant exigé (Dupuis et al. [éd.], Petit commentaire, Code pénal, 2e éd., Bâle 2017, n. 2 ad art. 251 CP).</w:t>
      </w:r>
    </w:p>
    <w:p>
      <w:r>
        <w:rPr>
          <w:b/>
        </w:rPr>
        <w:t>E. 2.3.3</w:t>
      </w:r>
    </w:p>
    <w:p>
      <w:r>
        <w:t>Pour autant qu’ils soient intelligibles, les moyens du recours portant sur l’appréciation des faits procèdent d’une confusion entre deux documents, à savoir l’accusé de réception du 17 juillet 2023 (P. 4/3) et l’avis de réception du 18 juillet 2023 (P. 4/2). Comme le retient à bon droit la Procureure, l’avis de réception n’est qu’une information donnée aux parties quant à l’ouverture de l’instance fédérale. Cet écrit ne constitue donc pas un titre au sens légal, faute d’être destiné et propre à prouver un fait ayant une portée juridique. La question pourrait se poser pour ce qui est de l’accusé de réception, mais celui-ci est exact de l’aveu même du recourant. En particulier, la question de savoir si le recours interjeté devant l’autorité fédérale a été déposé en temps utile devrait être examinée au vu de la date du dépôt de l’acte par porteur. C’est du reste ce que la IIe Cour de droit civil a fait dans son arrêt du 26 septembre 2023 (5D_149/2023), en retenant que le recours déposé par U.________ avait été « formé le 17 juillet 2023 ». Au demeurant, ledit recours n’a pas été considéré comme tardif mais a été déclaré irrecevable au motif que le recourant n’avait pas versé l’avance de frais requise dans le délai supplémentaire imparti, d’une part, et que le Tribunal</w:t>
      </w:r>
    </w:p>
    <w:p>
      <w:r>
        <w:t>- 7 - fédéral a relevé que « la prétendue erreur dans la datation du recours » était sans incidence, d’autre part. En outre, la mention de la requête de mesures provisionnelles assortissant le recours déposé devant le Tribunal fédéral n’avait pas à figurer dans l’avis de réception dudit recours, faute pour cette écriture de constituer un titre, comme déjà relevé. Enfin, on peine à discerner où résiderait l’élément constitutif subjectif de l’infraction es ce qui concerne l’employé de chancellerie que le recourant met en cause, les éléments invoqués à cet égard – soit que cet employé ait voulu procurer un avantage au Tribunal fédéral – relevant de l’affabulation. Les éléments constitutifs de l’infraction de faux dans les titres ne sont donc manifestement pas réunis. Il en va de même de toute autre infraction.</w:t>
      </w:r>
    </w:p>
    <w:p>
      <w:r>
        <w:rPr>
          <w:b/>
        </w:rPr>
        <w:t>E. 3</w:t>
      </w:r>
    </w:p>
    <w:p>
      <w:r>
        <w:t>Au vu de ce qui précède, le recours, manifestement mal fondé, doit être rejeté sans échange d’écritures (art. 390 al. 2 CPP), dans la mesure où il est recevable, et l’ordonnance entreprise confirmée. Les frais de la procédure de recours, constitués du seul émolument d’arrêt, par 770 fr. (art. 20 al. 1 TFIP [tarif des frais de procédure et indemnités en matière pénale du 28 septembre 2010 ; BLV 312.03.1]), seront mis à la charge du recourant, qui succombe (art. 428 al. 1 CPP). Les frais mis à la charge du recourant seront compensés à due concurrence avec le montant des sûretés de 550 fr. déjà versé, le solde dû s’élevant à 220 fr. (art. 7 TFIP). Par ces motifs, la Chambre des recours pénale prononce : I. Le recours est rejeté dans la mesure où il est recevable. II. L’ordonnance du 15 août 2023 est confirmée. III. Les frais d’arrêt, par 770 fr. (sept cent septante francs), sont mis à la charge d’U.________.</w:t>
      </w:r>
    </w:p>
    <w:p>
      <w:r>
        <w:t>- 8 - IV. L’avance de frais de 550 fr. (cinq cent cinquante francs) versée par le recourant à titre de sûretés est imputée sur les frais mis à sa charge au chiffre III ci-dessus, le solde dû s’élevant à 220 fr. (deux cent vingt francs). V. L’arrêt est exécutoire. La présidente : Le greffier : Du Le présent arrêt, dont la rédaction a été approuvée à huis clos, est notifié, par l'envoi d'une copie complète, à : - M.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