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PE23.014934 vom 16. Juli 2024</w:t>
      </w:r>
    </w:p>
    <w:p>
      <w:r>
        <w:t>VD Tribunal cantonal, 2024-07-16, FR</w:t>
      </w:r>
    </w:p>
    <w:p>
      <w:r>
        <w:rPr>
          <w:b/>
        </w:rPr>
        <w:t xml:space="preserve">Quelle: </w:t>
      </w:r>
      <w:r>
        <w:t>https://mcp.opencaselaw.ch/entscheid/vd_gerichte_PE23.014934</w:t>
      </w:r>
    </w:p>
    <w:p>
      <w:r>
        <w:t>FR: VD_GERICHTE PE23.014934 du 16 juillet 2024</w:t>
      </w:r>
    </w:p>
    <w:p>
      <w:r>
        <w:t>IT: VD_GERICHTE PE23.014934 del 16 luglio 2024</w:t>
      </w:r>
    </w:p>
    <w:p>
      <w:pPr>
        <w:pStyle w:val="Heading2"/>
      </w:pPr>
      <w:r>
        <w:t>Volltext</w:t>
      </w:r>
    </w:p>
    <w:p>
      <w:r>
        <w:t>TRIBUNAL CANTONAL 521 PE23.014934-JEM CHAMBRE DE S RECO URS PEN ALE __________________________________________ Arrêt du 16 juillet 2024 __________________ Composition : Mme ELKAIM, vice-présidente Mme Fonjallaz et Maillard, juges Greffière : Mme Choukroun ***** Art. 221 al. 1 let. a et b CPP, 227 CPP Statuant sur le recours interjeté le 8 juillet 2024 par S.________ contre l’ordonnance rendue le 25 juin 2024 par le Tribunal des mesures de contrainte dans la cause n° PE23.014934-JEM, la Chambre des recours pénale considère : En fait : A. a) Une enquête a été ouverte à l’encontre de S.________ pour escroquerie. Le Ministère public de l’arrondissement de La Côte (ci-après : Ministère public) reproche à la prévenue d’avoir, à tout le moins, entre le 30 juin et le 2 août 2023, déterminé D.________, âgé de 90 ans, à lui remettre au moyen de prétextes fallacieux, notamment la nécessité de 351</w:t>
      </w:r>
    </w:p>
    <w:p>
      <w:r>
        <w:t>- 2 - subir une opération pour soigner un cancer, une somme globale d’environ 12'000 francs. Il lui est également reproché d’avoir, à [...] et en tout autre endroit, à tout le moins entre le 15 mai et le 12 juin 2023, déterminé J.________, âgé de 89 ans, à lui remettre au moyen de prétextes fallacieux, notamment la nécessité de soigner une maladie très grave, une somme d’au moins 39'467 fr. 45. Enfin, elle est également soupçonnée d’avoir, à [...] ou en tout autre endroit, à tout le moins entre les 26 juillet et 2 août 2023, déterminé K.________, âgé de 72 ans, en invoquant des motifs fallacieux, à lui remettre une somme globale de 1'800 fr. en deux versements. b) Le casier judiciaire suisse de S.________ mentionne une condamnation à 15 jours-amende à 30 fr. le jour, avec sursis et un délai d'épreuve de deux ans, ainsi qu'à une amende de 150 fr., pour vol le 27 février 2019. Son casier judiciaire autrichien fait état d’une condamnation du 14 décembre 2022 à 20 mois de peine privative de liberté, dont 15 avec sursis et un délai d'épreuve de trois ans, pour escroquerie qualifiée et par métier. L’extrait de son casier judiciaire allemand fait quant à lui état de trois condamnations, soit le 3 septembre 2010 à 30 jours-amende à 15 euros le jour, pour vol, le 11 mars 2011 à 18 mois de peine privative de liberté avec sursis pendant trois ans, pour escroquerie qualifiée et tentative d'escroquerie qualifiée ainsi que le 7 août 2013 à 90 jours-amende à 25 euros le jour, pour soustraction fiscale. c) S.________ a été interpellée le 2 août 2023. L’audition d’arrestation par le Ministère public a eu lieu le lendemain. Par ordonnance du 4 août 2023, le Tribunal des mesures de contrainte a ordonné la mise en détention provisoire de S.________ pour une durée initiale de deux mois, soit au plus tard jusqu’au 1er octobre 2023. Cette détention provisoire a été prolongée, respectivement par ordonnances des 25 septembre, 22 décembre 2023 et 28 mars 2024 pour une durée de trois mois, soit en dernier lieu jusqu’au 29 juin 2024. Le Tribunal a, à chaque fois, retenu l’existence de soupçons suffisants d’escroquerie à l’encontre de la prévenue. Il a également constaté que</w:t>
      </w:r>
    </w:p>
    <w:p>
      <w:r>
        <w:t>- 3 - cette dernière était ressortissante de [...] sans aucune attache avec la Suisse et qu’elle avait déclaré avoir été élevée par ses parents en [...] où elle serait toujours domiciliée avec ses parents et ses trois enfants. Par conséquent, le risque de fuite était avéré au regard des charges qui pesaient sur elle et de la peine à laquelle elle s’exposait. Il en allait de même s’agissant du risque de collusion, dans la mesure où l’ampleur de l’activité délictueuse de la prévenue n’était pas encore établie, cette dernière ayant finalement reconnu avoir perçu d’importantes sommes d’argent de la part de D.________, J.________ et K.________, admettant qu’elle avait perçu de l’argent de la part de huit hommes en tout (PV aud. 8). Partant, le maintien en détention se justifiait pour éviter à tout prix que l’intéressée, dans le cas d’une mise en liberté, n’interfère dans l’instruction en faisant disparaître ou en altérant d’éventuelles preuves, en prévenant d’éventuels comparses ou en tentant de contacter les plaignants afin de faire pression sur eux pour qu’ils se rétractent, ce qui compromettrait alors irrémédiablement l’instruction. d) Par ordonnance du 18 mars 2024 le Tribunal des mesures de contrainte a rejeté la demande de libération déposée par S.________ le 28 février 2024. Se fondant notamment sur les déclarations de la prévenue (PV aud. 8), le Tribunal avait retenu qu’il n’était pas absolument pas exclu que l’infraction d’escroquerie, voire d’escroquerie par métier, soit retenue à son encontre par le juge du fond. Se référant à ses précédentes ordonnances, le Tribunal a également considéré que, en l’absence d’élément nouveau permettant d’en faire une appréciation différente, les risques de fuite et de collusion demeuraient réalisés. B. Par demande du 17 juin 2024, le Ministère public a requis la prolongation de la détention provisoire de S.________ pour une nouvelle durée de trois mois, invoquant des risques de fuite, de collusion et de réitération. Dans ses déterminations du 21 juin 2024, S.________ a conclu au rejet de la demande de prolongation de la détention provisoire et à sa libération immédiate. Reprenant les moyens déjà soulevés dans sa</w:t>
      </w:r>
    </w:p>
    <w:p>
      <w:r>
        <w:t>- 4 - requête de libération conditionnelle du 28 février 2024, elle a soutenu qu’en l’absence de tromperie astucieuse, l’infraction d’escroquerie ne pouvait être retenue à son encontre et que la durée de la détention était disproportionnée. Par ordonnance du 25 juin 2024, le Tribunal des mesures de contrainte (ci-après : le Tribunal) a prolongé la détention provisoire de S.________ (I) a fixé la durée maximale de la prolongation à 3 mois, soit au plus tard jusqu’au 28 septembre 2024 (II) et a dit que les frais de l’ordonnance par 225 fr, suivaient le sort de la cause (III). S’agissant des soupçons sérieux pesant sur la prévenue, le Tribunal s’est référé intégralement à ses précédentes ordonnances, qui gardaient toute leur pertinence. Au moyen soulevé par la prévenue, relatif à l’attitude – qu’elle juge légère et insouciante – des plaignants, le Tribunal a rappelé qu’il ne lui appartenait pas de résoudre des questions juridiques complexes portant sur le fond de la procédure. Quant aux risques de fuite et de collusion retenus pour fonder la prolongation de la détention provisoire, le Tribunal a indiqué que ces risques avaient été constatés depuis la mise en détention de l’intéressée et qu’ils demeuraient toujours d’actualité, en l’absence d’élément nouveau venu remettre en question l’appréciation faite sur ces points dans les ordonnances précédentes. Le Tribunal a considéré que les conditions légales de la prolongation de la détention provisoire étaient dès lors remplies et qu’aucune mesure de substitution n’était apte à parer aux risques retenus, la défense n’en proposant du reste pas. En outre, les trois mois de prolongation requis étaient nécessaires à la finalisation de l’analyse des données contenues dans les téléphones portables de la prévenue et à la reddition d’un conséquent rapport d’enquête, de nouveaux éléments devant en outre faire l’objet d’une enquête complémentaire.</w:t>
      </w:r>
    </w:p>
    <w:p>
      <w:r>
        <w:t>- 5 - Enfin, la durée de la détention provisoire demeurait proportionnée, au vu des antécédents de la prévenue, de la gravité et du nombre de cas qui lui sont reprochés et de la peine susceptible d’être prononcée à son encontre en cas de condamnation. C. Par acte du 8 juillet 2024, S.________ a, par son conseil de choix, interjeté un recours contre cette ordonnance. Elle a conclu, avec suite de frais et dépens, principalement à son annulation, à sa libération immédiate et à l'octroi d'une indemnité à titre de dépens à la charge de l'État. Subsidiairement, elle a conclu à son annulation, au prononcé de mesures de substitution sous la forme d’une interdiction de quitter le territoire Suisse, d’une astreinte à se présenter à un poste de gendarmerie à intervalles réguliers, notamment le matin, à midi et le soir en rentrant du travail et d’une assignation à résidence, avec port du bracelet électronique afin de surveiller la mise en œuvre et le respect des mesures de substitution précitées. Elle a requis l'octroi d'une juste indemnité à titre de dépens à la charge de l'État.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w:t>
      </w:r>
    </w:p>
    <w:p>
      <w:r>
        <w:t>- 6 -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par une détenue qui a qualité pour recourir (art. 222 et 382 al. 1 CPP) et dans les formes prescrites (art. 385 al. 1 CPP), le recours est recevable. 2. La recourante ne conteste pas les faits mais soutient qu'ils ne sont pas constitutifs d'une escroquerie, faute de tromperie astucieuse. Elle fait en particulier valoir que les plaignants n'ont pas observé les mesures de précaution élémentaire que commandaient les circonstances, ses mensonges étant facilement décelables dès lors que l'existence d'une assurance-maladie en Suisse est notoire et que les plaignants auraient pu et dû solliciter une copie des factures ou de pièce établissant le diagnostic dont elle se prévalait. 2.1 2.1.1 Conformément à l’art. 221 al. 1 CPP, il doit exister des charges suffisantes, soit de sérieux soupçons de culpabilité à l'égard de l'intéressé, c'est-à-dire des raisons plausibles de le soupçonner d'avoir commis une infraction (TF 7B_868/2023 du 1er décembre 2023 consid. 4.1). De jurisprudence constante, il n'appartient pas au juge de la détention d'examiner en détail l'ensemble des considérations de fait, pas plus que de procéder à une appréciation complète des éléments à charge et à décharge ; il lui incombe uniquement de vérifier, sous l'angle de la vraisemblance, que le maintien en détention repose sur des indices de culpabilité suffisants (cf. ATF 143 IV 330 consid. 2.1 ; ATF 143 IV 316 consid. 3.1). De plus, c'est au juge du fond et non à celui de la détention qu'il incombera de résoudre définitivement les questions de qualification juridique des faits poursuivis, d'apprécier la culpabilité de l'intéressé ainsi que la valeur probante des différentes déclarations (cf. ATF 143 IV 330 consid. 2.1).</w:t>
      </w:r>
    </w:p>
    <w:p>
      <w:r>
        <w:t>- 7 - 2.1.2 Selon l’art. 146 CP, se rend coupable d’escroquerie et sera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du Code pénal, 2e éd., Bâle 2017, nn. 11 ss ad art. 146 CP et les réf. citées).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w:t>
      </w:r>
    </w:p>
    <w:p>
      <w:r>
        <w:t>- 8 - consid. 2e ; ATF 115 IV 32 consid. 3a ; Corboz, Les infractions en droit suisse, vol. I, 3e éd., Berne 2010, nn. 31 et 38 ad art. 146 CP ; Dupuis et alii, op. cit., n. 32 ad art. 146 CP).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2.2 En l'espèce, il ressort du dossier que la recourante est parvenue à déterminer à tout le moins 3 personnes à lui remettre des sommes importantes en utilisant un faux nom et en invoquant des motifs fallacieux tels que la nécessité de subir une intervention chirurgicale ou de se faire prodiguer des soins médicaux en insistant systématiquement sur leurs caractères urgents. Elle semble par ailleurs avoir toujours ciblé les hommes d'un certain âge (72, 89 et 90 ans) en comptant sur le fait qu'ils étaient plus faciles à tromper. Compte tenu précisément de l'âge des victimes choisies et de l'urgence invoquée par la recourante, on ne saurait d'emblée admettre une coresponsabilité de la dupe laquelle doit, selon la jurisprudence, rester l'exception. À ce stade, la qualification d'escroquerie, vraisemblablement par métier, peut donc toujours être envisagée. Le moyen doit dès lors être rejeté. 3. La recourante invoque ensuite une violation du principe de la proportionnalité. Prenant appui sur diverses recommandations et exemples de jurisprudence, elle soutient qu'au vu des faits mentionnés par le Ministère public dans sa demande de prolongation, elle ne serait pas exposée à une peine privative de liberté de plus de six à huit mois. Elle fait en outre valoir que l'enquête s'enlise et qu'aucune mesure d'instruction n'a été réalisée depuis le 11 avril 2024 de sorte que sa détention se heurterait frontalement au principe de célérité.</w:t>
      </w:r>
    </w:p>
    <w:p>
      <w:r>
        <w:t>- 9 - 3.1 3.1.1 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ATF 143 IV 168 consid. 5.1 ; ATF 139 IV 270 consid. 3.1). Compte tenu des nombreux paramètres entrant en considération lors de la fixation de la peine – prérogative appartenant au demeurant au juge du fond – et du principe d'individualisation en la matière (cf. art. 47 CP), aucune conclusion absolue quant à la quotité de la peine qui pourrait être prononcée ne peut être tirée de la comparaison avec d'autres affaires (ATF 141 IV 61 consid. 6.3.2 ; TF 1B_549/2021 du 21 octobre 2021 consid. 5.2 et les réf.). 3.1.2 La détention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(ATF 140 IV 74 consid. 3.2 ; ATF 128 I 149 consid. 2.2.1 ; TF 7B_715/2023 du 13 novembre 2023 consid. 6.2.3 et les réf. ; TF 7B_392/2023 du 15 septembre 2023 consid. 5.1 et les réf.).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3.2 En l'espèce, il est vrai que l'enquête n'a plus beaucoup avancé depuis l'audition de la recourante le 22 février 2024. Des recherches ont</w:t>
      </w:r>
    </w:p>
    <w:p>
      <w:r>
        <w:t>- 10 - toutefois eu lieu pour localiser la personne dont la recourante a admis avoir reçu 5’000 fr. lors de cette audition (PV aud. 8, R. 6). Cette nouvelle victime a désormais pu être identifiée et a annoncé sa volonté de prochainement déposer plainte pénale (cf. PV op., mention du 14 juin 2024). La rédaction du rapport de police est par ailleurs en cours (PV op. même mention). On ne décèle donc pas de temps mort suffisamment significatif pour justifier une libération de la recourante. Il appartient toutefois à la Direction de la procédure de s’assurer que l’enquête se poursuive sans désemparer. Par ailleurs, la recourante est prévenue d'escroquerie par métier. Le butin établi à ce jour est conséquent puisqu'il dépasse déjà les 55'000 francs. La recourante a par ailleurs de lourds antécédents, que les recommandations et les jugements cités par son conseil ne prennent évidemment pas en compte. Au vu de ce qui précède, soit la gravité des faits et les antécédents de la recourante, il apparaît qu'elle s'expose à une peine supérieure à la durée de la détention provisoire subie et ordonnée de sorte qu'il n'y a pas de violation du principe de la proportionnalité. Le moyen doit ainsi être rejeté. 4. La recourante se dit enfin prête à se voir assigner à domicile, à se présenter à un poste de police à intervalles réguliers et à porter un bracelet électronique pour garantir les risques de fuite et de collusion retenus. 4.1 4.1.1 Conformément au principe de la proportionnalité (art. 36 al. 3 Cst. [Constitution fédérale de la Confédération suisse du 18 avril 1999 ; RS 101]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w:t>
      </w:r>
    </w:p>
    <w:p>
      <w:r>
        <w:t>- 11 -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arrêts cités). 4.1.2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et 3.3.2 ; TF 7B_868/2023 du 1er décembre 2023 consid. 6.1 et les réf.). Une interdiction de quitter le territoire suisse ou un autre périmètre déterminé, couplée à une surveillance électronique, ne constitue pas non plus une mesure suffisante au regard de l'intensité du risque de fuite. Il faut ainsi prendre en considération qu'une surveillance électronique ne permet pas de prévenir la fuite mais uniquement de la constater a posteriori. Il n'est en effet pas exclu que le porteur d'un dispositif de surveillance électronique puisse fuir et, notamment, passer une frontière avant que les forces de l'ordre ne parviennent à l'arrêter, en particulier en cas de résidence proche d'une frontière (ATF 145 IV 503 consid. 3.3 ; TF 1B_549/2020 du 9 novembre 2020 consid. 3.3). 4.2 Compte tenu de la jurisprudence rappelée ci-dessus (cf. consid. 4.1.2 supra), c’est à raison que le tribunal de première instance a considéré qu’aucune mesure de substitution ne serait à même de pallier le</w:t>
      </w:r>
    </w:p>
    <w:p>
      <w:r>
        <w:t>- 12 - risque de fuite retenu, que la recourante ne conteste d’ailleurs pas. En effet, ni l’assignation à domicile, ni l’obligation de se présenter à un poste de police à intervalles réguliers, ni le port d’un bracelet électronique, ne sont de nature à prévenir un départ à l'étranger, en particulier en Belgique où – selon ses déclarations – la recourante a grandi et où vivent toujours ses parents et ses trois enfants – ou une entrée dans la clandestinité, mais uniquement à le constater a posteriori. Le moyen doit donc être rejeté. 5. Il résulte de ce qui précède que le recours, manifestement mal fondé, doit être rejeté sans échange d'écritures (art. 390 al. 2 CPP) et l’ordonnance attaquée confirmée. Vu le sort du recours, les frais de la procédure, constitués en l’espèce du seul émolument d’arrêt, par 1’210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25 juin 2024 est confirmée. III. Les frais d’arrêt, par 1'210 fr. (mille deux cent dix francs), sont mis à la charge de S.________. IV. L’arrêt est exécutoire. La vice-présidente : La greffière :</w:t>
      </w:r>
    </w:p>
    <w:p>
      <w:r>
        <w:t>- 13 - Du Le présent arrêt, dont la rédaction a été approuvée à huis clos, est notifié, par l'envoi d'une copie complète, à : - Me Michel de Palma, avocat (pour S.________), - Ministère public central, et communiqué à : - M. le Président du Tribunal des mesures de contraintes, - M. le Procureur de l’arrondissement de La Côte, - Service de la population (13.12.1982),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