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PE23.014682 vom 17. November 2023</w:t>
      </w:r>
    </w:p>
    <w:p>
      <w:r>
        <w:t>VD Tribunal cantonal, 2023-11-17, FR</w:t>
      </w:r>
    </w:p>
    <w:p>
      <w:r>
        <w:rPr>
          <w:b/>
        </w:rPr>
        <w:t xml:space="preserve">Quelle: </w:t>
      </w:r>
      <w:r>
        <w:t>https://mcp.opencaselaw.ch/entscheid/vd_gerichte_PE23.014682</w:t>
      </w:r>
    </w:p>
    <w:p>
      <w:r>
        <w:t>FR: VD_GERICHTE PE23.014682 du 17 novembre 2023</w:t>
      </w:r>
    </w:p>
    <w:p>
      <w:r>
        <w:t>IT: VD_GERICHTE PE23.014682 del 17 novembre 2023</w:t>
      </w:r>
    </w:p>
    <w:p>
      <w:pPr>
        <w:pStyle w:val="Heading2"/>
      </w:pPr>
      <w:r>
        <w:t>Erwägungen</w:t>
      </w:r>
    </w:p>
    <w:p>
      <w:r>
        <w:rPr>
          <w:b/>
        </w:rPr>
        <w:t>E. 1</w:t>
      </w:r>
    </w:p>
    <w:p>
      <w:r>
        <w:t>- 6 -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 dans cette mesure, sous réserve de ce qui suit.</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w:t>
      </w:r>
    </w:p>
    <w:p>
      <w:r>
        <w:t>- 9 - 138 IV 86 précité consid. 4.1.2 ; ATF 137 IV 285 consid. 2.3 et les références citées, JdT 2012 IV 160).</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2 ad art. 385 StPO ; Pitteloud, Code de procédure pénale suisse, Commentaire à l’usage des praticiens, Zurich/St-Gall 2012, n. 1126).</w:t>
      </w:r>
    </w:p>
    <w:p>
      <w:r>
        <w:t>- 7 -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w:t>
      </w:r>
    </w:p>
    <w:p>
      <w:r>
        <w:t>- 8 - 6B_609/2021 du 19 juillet 2021 consid. 2.4 ; TF 6B_510/2020 du 15 septembre 2020 consid. 2.2 et les références citées). L'art. 110 al. 4 CPP prévoit que la direction de la procédure, y compris celle de la Chambre des recours pénale, peut retourner à l'expéditeur une requête illisible, incompréhensible, inconvenante ou prolixe, avec un délai pour la corriger.</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 pouvoir ne peut pas être commis par omission (art. 11 CP), puisque l’abus de pouvoir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w:t>
      </w:r>
    </w:p>
    <w:p>
      <w:r>
        <w:rPr>
          <w:b/>
        </w:rPr>
        <w:t>E. 3</w:t>
      </w:r>
    </w:p>
    <w:p>
      <w:r>
        <w:t>- 10 -</w:t>
      </w:r>
    </w:p>
    <w:p>
      <w:r>
        <w:rPr>
          <w:b/>
        </w:rPr>
        <w:t>E. 3.1</w:t>
      </w:r>
    </w:p>
    <w:p>
      <w:r>
        <w:t>Le recourant a déposé sept recours qui disposent – à l’exception d’un seul qui ne concerne pas la présente cause – d’une partie générale identique, dans laquelle B.________ s’en prend essentiellement au Procureur général [...], contre lequel il déclare formellement déposer plainte. Il lui reproche en substance, et en résumé, d’avoir agi au mépris de la loi et de ses droits de justiciable, de façon discriminatoire, arbitraire, en violation de son droit d’être entendu et d’autres droits constitutionnels, et finalement de s’être rendu coupable d’abus de pouvoir, en rendant plusieurs ordonnances de non-entrée en matière concernant ses plaintes, respectivement en refusant de les instruire. B.________ expose ensuite – toujours de façon générale – qu’il reproche aux magistrats et autres personnes visés par ses plaintes de graves manquements, infractions pénales, erreurs de procédure et autres comportement « prévaricateurs », comportements qui seraient ainsi couverts par le Procureur général.</w:t>
      </w:r>
    </w:p>
    <w:p>
      <w:r>
        <w:rPr>
          <w:b/>
        </w:rPr>
        <w:t>E. 3.2</w:t>
      </w:r>
    </w:p>
    <w:p>
      <w:r>
        <w:t>En l’espèce, les « griefs » invoqués dans la première partie du recours – que l’on qualifiera de critique prolixe à la limite de l’inconvenance (cf. pp. 2 à 8) – sont des considérations générales, témoignant de l’insatisfaction et du ressentiment du recourant en relation avec l’issue qui a été donnée par le Procureur général à ses multiples plaintes. Or, les voies de droit idoines ont été utilisées à cet effet. Pour le surplus, force est de constater qu’il s’agit d’assertions gratuites non étayées. Au demeurant, ces considérations d’ordre général sont invoquées dans le contexte de la reddition par le Procureur général d’une série de décisions, dont l’ordonnance concernée par le présent recours, mais sans aucun lien précis avec celle-ci. En effet, même si le recourant invoque une multitude de violations du droit de fond, de procédure et de ses droits fondamentaux, il n’explique aucunement en quoi factuellement et précisément lesdites normes auraient été violées dans le cadre de la décision ici litigieuse. Il n’expose pas davantage, dans cette partie du recours, en se référant aux considérants de la décision attaquée, quels motifs commanderaient – sous l’angle des faits et du droit – qu’une décision différente soit rendue, étant rappelé qu’une contestation générale, la référence aux arguments invoqués et le renvoi aux écritures et pièces déposés devant l’instance</w:t>
      </w:r>
    </w:p>
    <w:p>
      <w:r>
        <w:t>- 11 - précédente sont insuffisants. Par conséquent, la première partie du recours doit être déclarée irrecevable, dans la mesure où elle ne respecte pas les exigences de motivation du recours au sens de l’art. 385 CPP.</w:t>
      </w:r>
    </w:p>
    <w:p>
      <w:r>
        <w:rPr>
          <w:b/>
        </w:rPr>
        <w:t>E. 3.3</w:t>
      </w:r>
    </w:p>
    <w:p>
      <w:r>
        <w:t>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sans fondement ayant nécessité un traitement individualisé. Celui-ci use systématiquement des mêmes procédés, consistant à déposer des plaintes pénales injustifiées en lieu et place, ou en sus, de l’usage normal des voies de droit. C’est donc à juste titre que le Procureur général a mis les frais de l’ordonnance en cause, par 375 fr., à la charge du recourant en application de l’art. 420 al. 1 CPP, celui-ci ayant agi de façon téméraire en multipliant des démarches judiciaires qu’il savait vouées à l’échec compte tenu des décisions déjà rendues le concernant dans un contexte similaire. Le fait que la réponse donnée soit identique sur plusieurs points dans les sept ordonnances rendues par le Procureur général n’y change rien et il en ira de même, pour le même motif, des frais afférents aux sept recours déposés par le recourant.</w:t>
      </w:r>
    </w:p>
    <w:p>
      <w:r>
        <w:rPr>
          <w:b/>
        </w:rPr>
        <w:t>E. 3.4</w:t>
      </w:r>
    </w:p>
    <w:p>
      <w:r>
        <w:t>Enfin, aucune suite ne sera donnée à la plainte déposée contre le Procureur général au terme du recours, dès lors que la Chambre des recours pénale n’est pas une autorité habilitée à recevoir des plaintes. Il n’y a en outre pas lieu de transmettre ladite plainte au Ministère public compétent, dès lors qu’une plainte similaire a déjà été déposée contre le Procureur général et transmise à l’autorité compétente (cf. CREP 9 mars</w:t>
      </w:r>
    </w:p>
    <w:p>
      <w:r>
        <w:t>- 12 - 2023/175 consid. 4) et qu’il appartient dès lors au recourant de s’adresser à l’autorité d’ores et déjà saisie pour tout complément qu’il souhaiterait apporter à sa plainte initiale.</w:t>
      </w:r>
    </w:p>
    <w:p>
      <w:r>
        <w:rPr>
          <w:b/>
        </w:rPr>
        <w:t>E. 4.1</w:t>
      </w:r>
    </w:p>
    <w:p>
      <w:r>
        <w:t>Dans la seconde partie de son recours, B.________ fait valoir que le courrier que lui a adressé Z.________ le 23 novembre 2022 ne valait pas ordonnance de non-entrée en matière, dès lors qu’elle avait seulement fait mention des compétences de la Commission de haute surveillance du Tribunal cantonal. Dans cette mesure, son droit de recours ne serait pas périmé et ce serait sans droit que le Juge G.________ se serait saisi de la plainte. Il reproche ainsi à U.________, Z.________ et G.________ d’avoir agi – par de « vils arrangements et indignes manigances » – en violation de l’art. 58a LGC (loi sur le Grand Conseil du 8 mai 2007 ; BLV 171.01). U.________ aurait intercepté sa plainte et l’aurait « gelée » jusqu’en 2023, pour la remettre contre sa volonté au Conseil de la magistrature, alors que, déposée en 2022, elle devait être traitée par la Commission de haute surveillance du Tribunal cantonal conformément à la disposition légale précitée. Ces agissements révéleraient, selon le recourant, une collusion et une complicité entre les intéressés. Ils auraient abouti à un traitement non sollicité de sa plainte par le Conseil de la magistrature, dont il estime que la décision n’a aucune valeur puisqu’elle serait issue d’un abus de pouvoir, d’un sabotage, d’une trahison et d’une « forfaiture ». B.________ voit dans le traitement de sa plainte par le Conseil de la magistrature – non sollicité – et non par la Commission de haute surveillance du Tribunal cantonal une violation de son droit d’être entendu. Le recourant expose encore que G.________ et U.________ se seraient rendus coupables d’abus de pouvoir en raison des faits précités, et que le Procureur général, qui serait tout aussi coupable d’abus de pouvoir, aurait violé l’art. 310 CPP en rendant une ordonnance de non- entrée en matière les protégeant. Il conteste également avoir agi de façon téméraire.</w:t>
      </w:r>
    </w:p>
    <w:p>
      <w:r>
        <w:t>- 13 -</w:t>
      </w:r>
    </w:p>
    <w:p>
      <w:r>
        <w:rPr>
          <w:b/>
        </w:rPr>
        <w:t>E. 4.2</w:t>
      </w:r>
    </w:p>
    <w:p>
      <w:r>
        <w:t>En l’espèce, en ce qui concerne les faits reprochés à l’ancienne Présidente du Grand Conseil U.________ et à l’ancien Juge cantonal G.________, force est de constater que B.________ n’invoque, ni ne rend vraisemblable un quelconque fait, imputable aux prénommés, qui serait susceptible de tomber sous le coup de la loi pénale. Il ne ressort en effet pas des faits allégués dans ses plaintes et dans le recours que les intéressés auraient usé de contrainte illicite, qu’ils auraient usé de moyens disproportionnés pour atteindre un but particulier, ni encore qu’ils auraient gravement et de façon insoutenable violé les règles applicables. Il apparaît au contraire qu’ils ont appliqué les dispositions légales. Certes, l’art. 58a LGC prévoyait que la Commission de haute surveillance était chargée d'exercer pour le Grand Conseil la haute surveillance sur le Tribunal cantonal. Il a toutefois été abrogé au 1er janvier 2023, la surveillance disciplinaire étant depuis lors exercée par le Conseil de la magistrature aux termes des art. 31 ss LCMag (loi sur le Conseil de la magistrature du 31 mai 2022 ; BLV 173.07). Or, on ne discerne pas de « manigance » consistant à « geler » les dénonciations de l’intéressé en attendant 2023, respectivement de retard à statuer, dites dénonciations ayant été déposées à la fin du mois de novembre 2022. Il n’était donc pas envisageable qu’il soit donné suite à 18 dénonciations en un laps de temps si court. Si ces dénonciations ont certes été déposées à une époque où la Commission de haute surveillance du Tribunal cantonal existait encore, le fait est que cette commission n’existe plus – aussi bien physiquement que légalement – et que ses attributions ont été reprises par le Conseil de la magistrature. Il s’ensuit que, contrairement à ce que soutient le recourant, ce ne sont pas les décisions rendues par le Conseil de la magistrature, mais bien les décisions qui seraient rendues par une autorité qui n’existe plus selon la loi qui seraient dépourvues de toute valeur. De toute manière, à supposer que le droit transitoire n’ait pas été respecté – ce qui n’est pas établi – il n’y aurait encore pas d’abus de pouvoir au sens de l’art. 312 CP. Quant aux craintes du recourant, selon lesquelles la Procureure [...], contre laquelle il a déposé plainte pénale, siège audit conseil, elles n’avaient pas lieu d’être puisque l’art. 32 RCMag (règlement</w:t>
      </w:r>
    </w:p>
    <w:p>
      <w:r>
        <w:t>- 14 - du Conseil de la magistrature du 31 mars 2023 ; BLV 173.07.1) prévoit une procédure de récusation. De toute manière, la décision de non-entrée en matière du 1er mars 2023 a été prise par le seul Président du Conseil de la magistrature. Par surabondance, il y a encore lieu de relever qu’il est douteux que l’intéressé disposât, en sa qualité de dénonciateur, d’un « droit », comme il le prétend, respectivement d’un intérêt protégé à contester la compétence et les décisions d’une autorité disciplinaire, le dénonciateur n’ayant qualité de partie en procédure administrative qu’à des conditions restrictives que le recourant n’établit pas en l’espèce (cf. art. 13 LPA-VD [loi sur la procédure administrative du 28 octobre 2008 ; BLV 173.36]). Il apparaît ainsi bien plutôt que le recourant est insatisfait de la suite qui a été donnée à ses dénonciations du 23 novembre 2022 et, comme l’a déjà largement détaillé le procureur (cf. supra let. B), le seul fait qu’une autorité rende une décision erronée ou en défaveur d’un justiciable, respectivement se déclare incompétente, ne constitue ni un motif de récusation, ni une infraction pénale, en particulier un abus de pouvoir au sens de l’art. 312 CP. Il s’ensuit qu’en l’absence du moindre indice de la commission d’une infraction par l’ancienne Présidente du Grand Conseil U.________ et de l’ancien Juge cantonal G.________, le Procureur général était fondé à rendre une ordonnance de non-entrée en matière.</w:t>
      </w:r>
    </w:p>
    <w:p>
      <w:r>
        <w:rPr>
          <w:b/>
        </w:rPr>
        <w:t>E. 5</w:t>
      </w:r>
    </w:p>
    <w:p>
      <w:r>
        <w:t>Au vu de ce qui précède, le recours, manifestement mal fondé, doit être rejeté dans la mesure de sa recevabilité, sans échange d’écritures (art. 390 al. 2 CPP). Les frais de la procédure de recours, par 1'430 fr. (art. 20 al. 1 TFIP [tarif des frais de procédure et indemnités en matière pénale du 28</w:t>
      </w:r>
    </w:p>
    <w:p>
      <w:r>
        <w:t>- 15 - septembre 2010 ; BLV 312.03.1]), seront mis à la charge du recourant, qui succombe (art. 428 al. 1 CPP). Par ces motifs, la Chambre des recours pénale prononce : I. Le recours est rejeté dans la mesure où il est recevable. II. L’ordonnance du 25 octobre 2023 est confirmée. III. Les frais d’arrêt, par 1'430 fr. (mille quatre cent trente francs), sont mis à la charge de B.________. IV. L’arrêt est exécutoire. La présidente : Le greffier : Du Le présent arrêt, dont la rédaction a été approuvée à huis clos, est notifié, par l'envoi d'une copie complète, à : - M. B.________, - Ministère public central, et communiqué à : - M. le Procureur général du canton de Vaud,</w:t>
      </w:r>
    </w:p>
    <w:p>
      <w:r>
        <w:t>- 16 -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