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PE23.014623 vom 24. Januar 2024</w:t>
      </w:r>
    </w:p>
    <w:p>
      <w:r>
        <w:t>VD Tribunal cantonal, 2024-01-24, FR</w:t>
      </w:r>
    </w:p>
    <w:p>
      <w:r>
        <w:rPr>
          <w:b/>
        </w:rPr>
        <w:t xml:space="preserve">Quelle: </w:t>
      </w:r>
      <w:r>
        <w:t>https://mcp.opencaselaw.ch/entscheid/vd_gerichte_PE23.014623</w:t>
      </w:r>
    </w:p>
    <w:p>
      <w:r>
        <w:t>FR: VD_GERICHTE PE23.014623 du 24 janvier 2024</w:t>
      </w:r>
    </w:p>
    <w:p>
      <w:r>
        <w:t>IT: VD_GERICHTE PE23.014623 del 24 gennaio 2024</w:t>
      </w:r>
    </w:p>
    <w:p>
      <w:pPr>
        <w:pStyle w:val="Heading2"/>
      </w:pPr>
      <w:r>
        <w:t>Erwägungen</w:t>
      </w:r>
    </w:p>
    <w:p>
      <w:r>
        <w:rPr>
          <w:b/>
        </w:rPr>
        <w:t>E. 28</w:t>
      </w:r>
    </w:p>
    <w:p>
      <w:r>
        <w:t>août 2023, celui-ci est manifestement tardif, eu égard au temps écoulé entre l’envoi de la décision, le 4 septembre 2023, et la réception de l’acte de recours, le 29 septembre 2023. En effet, s’il est vrai qu’il appartient en principe à l’autorité de supporter les conséquences de l’absence de preuve de la notification lorsqu’elle communique une ordonnance par pli simple, le recourant ne se prévaut pas d'un vice de notification ni n'indique à quelle date il a reçu l'ordonnance entreprise. En d'autres termes, ni la notification de l'ordonnance du 28 août 2023, ni sa date ne sont contestées. Au contraire, dans son courrier du 3 octobre 2023, le recourant soulève lui-même la question de l’éventuelle tardiveté de son recours, ce qui laisse à penser qu'il avait conscience que celui-ci avait été</w:t>
      </w:r>
    </w:p>
    <w:p>
      <w:r>
        <w:t>- 7 - déposé après l'échéance du délai de dix jours dès la notification de la décision entreprise. Par conséquent, le recours doit être déclaré irrecevable pour ce premier motif. 1.2.2 De plus, à teneur de son courrier du 3 octobre 2023, le recourant conditionne son recours au fait qu’il ne soit pas tardif, en affirmant qu’il souhaite recourir s’il n’est pas « hors délai », et que « le cas échéant », il maintient sa requête du 22 septembre 2023. Or, la jurisprudence du Tribunal fédéral n’admet pas la recevabilité d’un recours conditionnel (ATF 134 III 332 consid. 2, JdT 2008 I 223 ; TF 1B_39/2016 du</w:t>
      </w:r>
    </w:p>
    <w:p>
      <w:r>
        <w:rPr>
          <w:b/>
        </w:rPr>
        <w:t>E. 29</w:t>
      </w:r>
    </w:p>
    <w:p>
      <w:r>
        <w:t>mars 2016 ; CREP 24 décembre 2015/868). Ainsi, faute pour le recourant d’avoir manifesté une volonté claire de recourir, son recours doit, pour ce motif également, être déclaré irrecevable. 1.2.3 Par surabondance, dans son courrier du 22 septembre 2023, intitulé « Demande d’information et nouvelle plainte », le recourant ne formule aucune conclusion à l’encontre de l’ordonnance de non-entrée en matière du 28 août 2023. Même si l’on discerne que le recourant estime invraisemblable que R.________ ait ignoré le risque que comportaient ses travaux, F.________ ne développe aucune argumentation explicite – factuelle ou juridique – contre l’ordonnance entreprise, respectivement sa motivation, ni n'expose en quoi une décision différente devrait être rendue. Il se borne à requérir du Ministère public qu’il lui fournisse les preuves qui attestent de ce que R.________ ignorait le danger que comportaient ses « installations ». Faute de motivation topique, le recours ne satisfait dès lors pas aux exigences de motivation de l'art. 385 al. 1 CPP et de la jurisprudence y relative, étant précisé qu’un tel défaut de motivation ne saurait justifier qu’un délai supplémentaire soit fixé au recourant pour compléter son acte en application de l'alinéa 2 de la disposition précitée. Le recours se révèle donc irrecevable pour ce troisième motif. Quoi qu’il en soit, même recevable, le recours devrait être rejeté pour les motifs qui suivent.</w:t>
      </w:r>
    </w:p>
    <w:p>
      <w:r>
        <w:t>- 8 - 2. 2.1 2.1.1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138 IV 86 précité consid. 4.1.2 ;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- 9 - 2.1.2 L'art. 129 CP (Code pénal suisse du 21 décembre 1937 ; RS 311.0) – dans sa version en vigueur jusqu’au 1er juillet 2023 (cf. art. 2 CP) –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6B_1326/2022 du 29 novembre 2023 consid. 2.1.1 ; TF 6B_115/2023 du 5 septembre 2023 consid. 1.1.1 ; TF 6B_386/2022 du 20 décembre 2022 consid. 2.1).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 121 IV 67 consid. 2b). Il doit en outre s'agir d'un danger de mort, et non pas seulement d'un danger pour la santé ou l'intégrité corporelle (ATF 133 IV 1 précité).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6B_876/2015 du 2 mai 2016 consid. 2.1). Du point de vue subjectif, il faut que l'auteur ait agi intentionnellement (ATF 133 IV 1 précité)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w:t>
      </w:r>
    </w:p>
    <w:p>
      <w:r>
        <w:t>- 10 - consid. 3). Le dol éventuel ne suffit pas (TF 6B_1321/2017 du 26 avril 2018 consid. 2.1 ; TF 6B_876/2015 précité). 2.2 En l’espèce, il ressort du dossier que le recourant est lié à R.________ par un contrat d’entreprise et qu’un important conflit existe entre eux à cet égard, le recourant faisant notamment valoir des malfaçons, des défauts et des retards dans l’exécution des travaux par le prénommé. Si les images produites par le recourant à l’appui de sa plainte démontrent que les travaux d’électricité n’étaient à l’évidence pas terminés, il n’en demeure pas moins que R.________ est carreleur et que les travaux précités devaient être exécutés par un électricien, auquel le prénommé dit avoir fait appel. Par ailleurs, R.________ a admis avoir abandonné le chantier, affirmant qu’il n’arrivait plus à accepter les changements d’avis du recourant. Il conteste en revanche que les photos produites par le plaignant reflètent l’état actuel de la cuisine. Il s’ensuit que, même s’il fallait retenir que l’installation présentait un danger de mort imminent lorsque R.________ a stoppé le chantier, ce qui n’est pas rendu suffisamment vraisemblable, la condition de l’absence de scrupules n’est à l’évidence pas réalisée et aucune mesure d’instruction ne permettrait de l’établir. Il s’agit, comme l'a relevé le Ministère public, d’un litige de nature essentiellement civile. Par conséquent, la décision du Ministère public de refuser d’entrer en matière n'apparait quoi qu'il en soit pas critiquable. 3. En définitive, le recours doit être déclaré irrecevable,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L’avance de frais de 550 fr. versée par le recourant à titre de sûretés sera imputée sur les frais d’arrêt mis à sa charge (art. 7 TFIP), le solde en faveur de l’Etat s’élevant à 550 francs.</w:t>
      </w:r>
    </w:p>
    <w:p>
      <w:r>
        <w:t>- 11 - Par ces motifs, la Chambre des recours pénale prononce : I. Le recours est irrecevable. II. Les frais d’arrêt, par 1'100 fr. (mille cent francs), sont mis à la charge de F.________. III. Le montant de 550 fr. (cinq cent cinquante francs) versé par F.________ à titre de sûretés est imputé sur les frais mis à sa charge au chiffre II ci-dessus, et le solde dû à l'Etat par celui-ci s’élève à 550 fr. (cinq cent cinquante francs). IV. L’arrêt est exécutoire. Le président : La greffière : Du Le présent arrêt, dont la rédaction a été approuvée à huis clos, est notifié, par l'envoi d'une copie complète, à : - F.________, - Ministère public central, et communiqué à : - Mme la Procureure de l’arrondissement de l’Est vaudois, - M. R.________,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