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PE23.014608 vom 6. November 2023</w:t>
      </w:r>
    </w:p>
    <w:p>
      <w:r>
        <w:t>VD Tribunal cantonal, 2023-11-06, FR</w:t>
      </w:r>
    </w:p>
    <w:p>
      <w:r>
        <w:rPr>
          <w:b/>
        </w:rPr>
        <w:t xml:space="preserve">Quelle: </w:t>
      </w:r>
      <w:r>
        <w:t>https://mcp.opencaselaw.ch/entscheid/vd_gerichte_PE23.014608</w:t>
      </w:r>
    </w:p>
    <w:p>
      <w:r>
        <w:t>FR: VD_GERICHTE PE23.014608 du 6 novembre 2023</w:t>
      </w:r>
    </w:p>
    <w:p>
      <w:r>
        <w:t>IT: VD_GERICHTE PE23.014608 del 6 novembre 2023</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w:t>
      </w:r>
    </w:p>
    <w:p>
      <w:r>
        <w:t>- 4 -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 déposées devant l’instance précédente (TF 6B_510/2020 du 15 septembre 2020 consid. 2.2 ; TF 1B_472/2019 du 29 octobre 2019 consid. 3.1 ; TF 6B_120/2016 du 20 juin 2016 consid. 3.1 ; Keller, in : Donatsch/Lieber/Summers/Wohlers [éd.], Zürcher Kommentar, Kommentar zur Schweizerischen Strafprozessordnung, 3e éd. 2020, n. 14 ad art. 396 StPO et les réf. cit. ; Guidon, in : Niggli/Heer/Wiprächtiger [éd.], Basler Kommentar, Schweizerische Strafprozessordnung, 3e éd. 2023 [ci- après : Basler Kommentar], n. 9c ad art. 396 StPO et les références citées ; Calame, in : Kuhn/Jeanneret/Perrier Depeursinge [éd.], Commentaire romand, Code de procédure pénale suisse, 2e éd. 2019 [ci-après : CR CPP], n. 20 ad art. 385 CPP).</w:t>
      </w:r>
    </w:p>
    <w:p>
      <w:r>
        <w:rPr>
          <w:b/>
        </w:rPr>
        <w:t>E. 1.3</w:t>
      </w:r>
    </w:p>
    <w:p>
      <w:r>
        <w:t>En l’espèce, le recours a été interjeté dans le délai légal et dans les formes prescrites (art. 385 al. 1 CPP) auprès de l’autorité</w:t>
      </w:r>
    </w:p>
    <w:p>
      <w:r>
        <w:t>- 5 - compétente, par la partie plaignante qui a qualité pour recourir (art. 382 al. 1 CPP).</w:t>
      </w:r>
    </w:p>
    <w:p>
      <w:r>
        <w:rPr>
          <w:b/>
        </w:rPr>
        <w:t>E. 2</w:t>
      </w:r>
    </w:p>
    <w:p>
      <w:r>
        <w:t>Le recourant soutient que l’art. 304 CPP n’imposerait pas qu’une plainte pénale soit signée mais uniquement que son auteur puisse être identifié, ce qui était le cas en l’espèce. Il relève en outre que la plainte pénale qu’il a rédigée le 26 juillet 2023 était intégrée dans la correspondance de son avocat du 27 juillet 2023, celui-ci étant habilité à déposer plainte pour le compte de son mandant. Par ailleurs, la volonté de porter plainte était manifeste, de sorte qu’en refusant d’entrer en matière pour une question de forme, le Ministère public avait fait preuve de formalisme excessif.</w:t>
      </w:r>
    </w:p>
    <w:p>
      <w:r>
        <w:rPr>
          <w:b/>
        </w:rPr>
        <w:t>E. 2.1.1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6B_1444/2021 du 17 mai 2022 consid. 3.2). En d’autres termes, il faut être certain que l’état de fait</w:t>
      </w:r>
    </w:p>
    <w:p>
      <w:r>
        <w:t>- 6 -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6B_375/2020 du 9 juillet 2020 consid. 3.2 et les références citées ; TF 6B_541/2017 du 20 décembre 2017 consid. 2.2). Il existe un empêchement de procéder au sens de l’art. 310 al. 1 let. b CPP, lorsque, par exemple, une plainte valable déposée en temps utile fait défaut en cas d’infraction poursuivie seulement sur plainte, ou en cas de prescription de l’action pénale (TF 6B_608/2020 du 4 décembre 2020 consid. 2.2 ; Vogelsang, in : Basler Kommentar, op. cit., n. 10 ad art. 310 StPo).</w:t>
      </w:r>
    </w:p>
    <w:p>
      <w:r>
        <w:rPr>
          <w:b/>
        </w:rPr>
        <w:t>E. 2.1.2</w:t>
      </w:r>
    </w:p>
    <w:p>
      <w:r>
        <w:t>Une plainte est valable selon l'art. 30 CP (Code pénal suisse du 21 décembre 1937, RS 311.0) si l'ayant droit, avant l'échéance d'un délai de trois mois depuis que l'auteur de l'infraction lui est connu (art. 31 CP), manifeste sa volonté inconditionnelle que l'auteur de l'infraction soit poursuivi et que la procédure pénale se poursuive sans autre déclaration de sa volonté (ATF 141 IV 380 consid. 2.3.4 ; 131 IV 97 consid. 3.1), dans les formes et auprès des autorités compétentes selon l'art. 304 al. 1 CPP (TF 6B_501/2020 du 15 décembre 2020 consid. 1.1.1). L’art. 304 CPP dispose que la plainte pénale doit être déposée auprès de la police, du ministère public ou de l’autorité pénale</w:t>
      </w:r>
    </w:p>
    <w:p>
      <w:r>
        <w:t>- 7 - compétente en matière de contraventions, par écrit ou oralement et que, dans ce dernier cas, elle est consignée au procès-verbal. La loi ne pose pas d’exigences spécifiques relatives à la forme de la plainte, l’essentiel étant d’assurer que le forme ne fasse pas obstacle au fond (Stoll, in : Moreillon et al. [éd.], Commentaire romand, Code pénal I, 2e éd., Bâle 2021, n. 15 ad art. 30 CP). Le dépôt de plainte par e-mail ou par fax doit être pris en considération, à la condition que ces documents soient signés ou contresignés (Berset Hemmer, in : CR CPP, n. 2 ad art. 304 CPP). Le dépôt de plainte par l’intermédiaire d’une personne autorisée (au moyen d’une procuration), à l’image de celle signée par un avocat, est également possible (Berset Hemmer, in : CR CPP, op. cit., n. 3 ad art. 304 CPP). L’acte sur lequel la signature, qui doit être manuscrite, n’est que reproduite (photocopie, facsimilé) n’est pas valable (ATF 142 V 152 consid. 4 et les références citées ; TF 9C_354/2022 du 26 septembre 2022 consid. 3.2 ; en procédure pénale, TF 6B_401/2016 du 28 novembre 2016 consid. 2.1).</w:t>
      </w:r>
    </w:p>
    <w:p>
      <w:r>
        <w:rPr>
          <w:b/>
        </w:rPr>
        <w:t>E. 2.2.1</w:t>
      </w:r>
    </w:p>
    <w:p>
      <w:r>
        <w:t>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L'inculpé n'encourra aucune peine s'il prouve que les allégations qu'il a articulées ou propagées sont conformes à la vérité ou qu'il avait des raisons sérieuses de les tenir de bonne foi pour vraies (art. 173 ch. 2 CP). Il ne sera toutefois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En vertu de l’art. 174 ch. 1 CP, se rend coupable de calomnie celui qui, connaissant la fausseté de ses allégations, aura, en s'adressant à</w:t>
      </w:r>
    </w:p>
    <w:p>
      <w:r>
        <w:t>- 8 -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(ATF 136 IV 170 consid. 2.1 ; TF 6B_676/2017 du 15 décembre 2017 consid. 3.1 ; TF 6B_119/2017 du 12 décembre 2017 consid. 3.1).</w:t>
      </w:r>
    </w:p>
    <w:p>
      <w:r>
        <w:rPr>
          <w:b/>
        </w:rPr>
        <w:t>E. 2.2.2</w:t>
      </w:r>
    </w:p>
    <w:p>
      <w:r>
        <w:t>Ces deux dispositions protègent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d’homme (ATF 137 IV 313 consid. 2.1.1 ; ATF 132 IV 112 consid. 2.1). Pour apprécier si une déclaration est attentatoire à l’honneur, il faut procéder à une interprétation objective selon le sens que le destinataire non prévenu devait, dans les circonstances d’espèce, lui attribuer (ATF 148 IV 409 consid. 2.3.2 ; ATF 137 IV 313 consid. 2.1.3). S’agissant d’un texte, il doit être analysé non seulement en fonction des expressions utilisées, prises séparément, mais aussi selon le sens général qui se dégage du texte dans son ensemble (ATF 137 IV 313 consid 2.1.3 ; TF 6B_541/2019 du 15 juillet 2019 consid. 2.1). Pour qu'il y ait diffamation ou calomnie, il faut une allégation de fait, et non pas un simple jugement de valeur (ATF 145 IV 462 consid. 4.2.4 ; ATF 137 IV 313 consid. 2.1.2 ; ATF 117 IV 27 consid. 2c). Si on ne discerne qu'un jugement de valeur offensant, la diffamation est exclue et il faut appliquer la disposition réprimant l'injure (art. 177 CP), qui revêt un</w:t>
      </w:r>
    </w:p>
    <w:p>
      <w:r>
        <w:t>- 9 - caractère subsidiaire (TF 6B_476/2016 du 23 février 2017 consid. 4.1 ; TF 6B_6/2015 du 23 mars 2016 consid. 2.2). La notion de jugement de valeur doit être comprise dans un sens large. Il s'agit d'une manifestation directe de mésestime ou de mépris, au moyen de mots blessants, de gestes ou de voies de fait (ATF 128 IV 53 consid. 1f/aa et référence citée).</w:t>
      </w:r>
    </w:p>
    <w:p>
      <w:r>
        <w:rPr>
          <w:b/>
        </w:rPr>
        <w:t>E. 2.3</w:t>
      </w:r>
    </w:p>
    <w:p>
      <w:r>
        <w:t>Conformément à la jurisprudence, c’est à raison que le Ministère public a considéré que la plainte pénale établie le 26 juillet 2023 par le recourant n’était pas valable à elle seule, dès lors que la signature y figurant n’était qu’une reproduction de l’originale. Toutefois, Me Guy Zwahlen bénéficiait d’une procuration de B.________. Il était donc autorisé à déposer plainte pénale au nom et pour le compte de son client. C’est ce qu’il a fait dans le cas d’espèce, en annexant le document précité à la lettre d’accompagnement qu’il a signée et adressée au Ministère public le 27 juillet 2023, lettre qui confirmait, d’une part, la volonté inconditionnelle de son mandant de poursuivre O.________ et, d’autre part, les motifs juridiques à l’appui de celle-ci. Il s’ensuit que la procureure ne pouvait pas considérer que la plainte pénale n’avait pas été déposée valablement. Le moyen est ainsi fondé. Cela étant, la procureure a retenu par surabondance que les propos qu’aurait tenus O.________ n’étaient pas suffisamment caractérisés pour entrer dans le champ d’application des art. 173 et 174 CP. Or, l’acte de recours, qui se limite à la question de la validité de la plainte, n’explique pas en quoi cette appréciation serait erronée. Il ne contient aucune argumentation sur le fond. Il s’ensuit qu’il ne satisfait pas aux exigences de motivation de l’art. 385 al. 1 CPP. Le recours est dès lors dans cette mesure irrecevable. Par surabondance, la Chambre de céans constatera que le fait de dire d’une personne qu’elle aurait « un problème avec la hiérarchie et les femmes » ne la fait en aucun cas objectivement passer pour une personne méprisable au sens bien précis où l’entend la jurisprudence. Il pourrait au surplus s’agir d’un simple jugement de valeur et non d’une</w:t>
      </w:r>
    </w:p>
    <w:p>
      <w:r>
        <w:t>- 10 - allégation de fait. Ce jugement de valeur n’a au surplus aucun caractère offensant, de sorte que, tout comme la diffamation et a fortiori la calomnie, l’infraction d’injure est également exclue.</w:t>
      </w:r>
    </w:p>
    <w:p>
      <w:r>
        <w:rPr>
          <w:b/>
        </w:rPr>
        <w:t>E. 3</w:t>
      </w:r>
    </w:p>
    <w:p>
      <w:r>
        <w:t>Il résulte de ce qui précède que le recours doit être rejeté dans la mesure où il est recevable, sans échange d’écritures (art. 390 al. 2 CPP). Vu le sort du recours, les frais de la procédure, constitués en l’espèce de l’émolument d'arrêt, par 990 fr. (art. 20 al. 1 TFIP), seront mis à la charge de B.________, qui succombe (art. 428 al. 1 CPP). Pour le même motif, il n’y a pas lieu de lui allouer une indemnité pour les dépenses occasionnées par l’exercice raisonnable de ses droits pour la procédure de recours au sens de l’art. 433 CPP. Par ces motifs, la Chambre des recours pénale prononce : I. Le recours est rejeté dans la mesure où il est recevable. II. L’ordonnance du 25 septembre 2023 est confirmée. III. Les frais d’arrêt, par 990 fr. (neuf cent nonante francs), sont mis à la charge de B.________. IV. L’arrêt est exécutoire. La présidente : Le greffier : Du Le présent arrêt, dont la rédaction a été approuvée à huis clos, est notifié, par l'envoi d'une copie complète, à : - Me Guy Zwahlen, avocat (pour B.________),</w:t>
      </w:r>
    </w:p>
    <w:p>
      <w:r>
        <w:t>- 11 -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