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PE23.014589 vom 22. April 2024</w:t>
      </w:r>
    </w:p>
    <w:p>
      <w:r>
        <w:t>VD Tribunal cantonal, 2024-04-22, FR</w:t>
      </w:r>
    </w:p>
    <w:p>
      <w:r>
        <w:rPr>
          <w:b/>
        </w:rPr>
        <w:t xml:space="preserve">Quelle: </w:t>
      </w:r>
      <w:r>
        <w:t>https://mcp.opencaselaw.ch/entscheid/vd_gerichte_PE23.014589</w:t>
      </w:r>
    </w:p>
    <w:p>
      <w:r>
        <w:t>FR: VD_GERICHTE PE23.014589 du 22 avril 2024</w:t>
      </w:r>
    </w:p>
    <w:p>
      <w:r>
        <w:t>IT: VD_GERICHTE PE23.014589 del 22 aprile 2024</w:t>
      </w:r>
    </w:p>
    <w:p>
      <w:pPr>
        <w:pStyle w:val="Heading2"/>
      </w:pPr>
      <w:r>
        <w:t>Erwägungen</w:t>
      </w:r>
    </w:p>
    <w:p>
      <w:r>
        <w:rPr>
          <w:b/>
        </w:rPr>
        <w:t>E. 31</w:t>
      </w:r>
    </w:p>
    <w:p>
      <w:r>
        <w:t>et 35), qui font notamment état d’un traumatisme crânien et de plaies au visage, s’ils mentionnent dans l’anamnèse qu’il aurait été victime de coups de couteau, ne permettent pas d’établir que les blessures subies seraient le fait de coups assénés avec une telle arme, le traumatisme</w:t>
      </w:r>
    </w:p>
    <w:p>
      <w:r>
        <w:t>- 24 - constaté laissant au contraire penser que C.________ a été frappé avec un autre objet. Enfin, on doit admettre que les divers lésés auraient eu des blessures plus conséquentes si l’appelant avait bel et bien été en possession d’un couteau. Sur la base des éléments qui précèdent, il existe un doute sur la nature de l’objet en main de l’appelant durant les événements du 27 juillet 2023. En revanche, la Cour de céans retiendra que celui-ci s’est bien emparé de la sacoche de C.________, comme cela résulte des déclarations constantes et claires de ce dernier et de celles de X.________ (cf. PV aud. 2), ainsi que des photographies au dossier – sur lesquelles l’appelant est porteur de cet objet – et des vidéos, étant précisé que Y.________ n’est pas porteur de la sacoche sur la vidéo filmant le début de l’altercation, qu’il en est porteur sur les images suivantes et qu’il n’en est à nouveau plus porteur sur les dernières vidéos. La qualification juridique de ces faits sera examinée ci-dessous (cf. consid. 6). 3.4 3.4.1 L’appelant conteste avoir donné un coup de poing à T.________, admettant tout au plus l’avoir poussée. 3.4.2 On doit admettre que l’appelant a bien donné un coup au visage de la plaignante. Celle-ci est crédible et n’a aucune raison de mentir. De plus, sa version des faits est confirmée par H.R.________, qui a affirmé que Y.________ avait tapé avec ses mains une jeune fille noire et l’avait mise à terre (cf. PV aud. 9), et corroborée par les images vidéo, qui montrent que l’appelant assène un coup à T.________ avec la main droite (cf. P. 12/1).</w:t>
      </w:r>
    </w:p>
    <w:p>
      <w:r>
        <w:t>- 25 - L'appréciation des preuves effectuée par les premiers juges peut être partagée et les faits commis au préjudice de T.________ tels que retenus par le Tribunal correctionnel doivent donc être confirmés. La qualification juridique de ces faits sera examinée ci-dessous (cf. consid. 5). 4. 4.1 L’appelant conteste sa condamnation pour lésions corporelles simples qualifiées concernant des faits décrits au considérant 2.1 de la partie « en fait » ci-dessus. S’agissant des chopes de bière lancées en direction et à travers l’établissement, il soutient qu’il aurait uniquement voulu se défendre et prendre la fuite. Il conteste avoir visé quiconque, et en particulier A.R.________, et s’être ainsi accommodé du résultat intervenu. 4.2 4.2.1 Selon l'art. 123 ch. 1 aCP (Code pénal suisse du 21 décembre 1937 ; RS 311.0),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1 aCP précise que la poursuite aura lieu d'office et la peine sera une peine privative de liberté de trois ans au plus ou une peine pécuniaire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w:t>
      </w:r>
    </w:p>
    <w:p>
      <w:r>
        <w:t>- 26 -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ch. 2 al. 1 CP vise le cas où l’auteur des lésions corporelles simples a fait usage de poison, d’une arme ou d’un objet dangereux. Le caractère dangereux d'un objet se détermine en fonction de la façon dont il est utilisé. Ainsi, il a été admis qu’un porte-plume est un instrument dangereux si l’on frappe la victime au visage avec sa pointe, mais ne l’est pas si l’on s’en sert comme d’une baguette.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 122 CP (ATF 101 IV 285 ; ATF 96 IV 16 consid. 3b ; TF 6B_926/2022 du 8 juin 2023 consid. 1.2.3 ; TF 6B_40/2021 du 29 septembre 2021 consid. 3.2.3). La réalisation de l'infraction de lésions corporelles simples suppose, outre l'existence d'une atteinte telle que décrite ci-dessus, un lien de causalité naturelle et adéquate avec le comportement reproché au prévenu (TF 7B_510/2023 du 16 mai 2024 consid. 2.2.2.2 ; TF 6B_218/2019 du 27 juin 2019 consid. 1.1.2). Celui-ci doit de plus avoir agi intentionnellement, le dol éventuel étant suffisant (ATF 134 IV 26 consid. 4 ; ATF 119 IV 1 consid. 5 ; TF 6B_218/2019 précité consid. 1.2). 4.2.2 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w:t>
      </w:r>
    </w:p>
    <w:p>
      <w:r>
        <w:t>- 27 - la menace d'une attaque, soit le risque que l'atteinte se réalise. Il doit s'agir d'une attaque actuelle ou à tout le moins imminente, ce qui implique que l'atteinte soit effective ou qu'elle menace de se produire incessamment (ATF 106 IV 12 consid. 2a ; TF 6B_1235/2023 du 8 juillet 2024 consid. 8.2.1 ; TF 6B_600/2014 du 23 janvier 2015 consid. 5.1 non publié in ATF 141 IV 61).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ATF 93 IV 81 ; TF 6B_1235/2023 précité ; TF 7B_13/2021 du 5 février 2024 consid. 3.3.1). 4.3 L’appelant ne peut valablement invoquer la légitime défense. En effet, il a commencé à lancer des chopes de bière en direction du bar, alors que les différentes personnes présentes venaient de s’y réfugier en raison de son comportement menaçant. S’il avait vraiment eu peur, comme il le prétend, il n’aurait pas poursuivi les hostilités, mais aurait pris la fuite, plus personne ne le retenant ou ne l’entravant à l’extérieur de l’établissement. L’appelant a lancé plusieurs chopes de bière de manière violente en direction du bar, dès lors qu’un des verres a brisé la vitre de l’établissement. Il savait qu’il y avait du monde à l’intérieur du bar, dans lequel ses antagonistes venaient de se réfugier. En agissant de la sorte, il devait s’attendre à toucher et blesser grièvement quelqu’un et s’est donc accommodé du résultat intervenu. Des verres employés comme projectiles sont par ailleurs propres à provoquer les blessures que causerait une arme employée dans les mêmes conditions, et doivent donc être considérés comme des objets dangereux au sens du chiffre 2 de l’art. 123 CP. Partant, la condamnation de l’appelant pour lésions corporelles simples qualifiées, infraction commise à tout le moins par dol éventuel,</w:t>
      </w:r>
    </w:p>
    <w:p>
      <w:r>
        <w:t>- 28 - doit être confirmée s’agissant des faits décrits au considérant 2.1 de la partie « en fait » ci-dessus. 5. 5.1 S’agissant des faits commis au préjudice de T.________, l’appelant conteste sa condamnation pour lésions corporelles simples, seule l’infraction de voies de fait pouvant selon lui être retenue. 5.2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6B_1257/2023 précité consid. 2.1.2 ; TF 6B_964/2023 précité). L'atteinte au sens de l'art. 126 CP suppose une certaine intensité. Peuvent être qualifiées de voies de fait, une gifle, un coup de poing ou de pied, de fortes bourrades avec les mains ou les coudes (TF 6B_1257/2023 précité ; TF 6B_964/2023 précité ; TF 6B_1064/2019 du 16 janvier 2020 consid. 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6B_964/2023 précité).</w:t>
      </w:r>
    </w:p>
    <w:p>
      <w:r>
        <w:t>- 29 -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 5.3 L’appelant a frappé T.________ au visage, avant de lui faire une balayette. Celle-ci a souffert d’une contusion à l’œil gauche et de douleurs au coccyx. Aux débats d’appel, elle a affirmé avoir eu mal à l’œil et en bas du dos pendant deux ou trois jours. Conformément à la jurisprudence susmentionnée, on doit considérer qu’il s’agit de lésions corporelles simples, et non pas de voies de fait. La condamnation de l’appelant pour lésions corporelles simples doit donc être confirmée s’agissant de ces faits. 6. 6.1 L’appelant conteste sa condamnation pour brigandage qualifié s’agissant des faits commis au préjudice de C.________. Il nie avoir dérobé la sacoche et avoir été porteur d’un couteau et soutient qu’il ne pourrait être condamné que pour lésions corporelles simples, voire brigandage simple. 6.2 Aux termes de l'art. 140 ch. 1 CP, se rend coupable de brigandage quiconque commet un vol en usant de violence à l'égard d'une personne, en la menaçant d'un danger imminent pour la vie ou l'intégrité corporelle ou en la mettant hors d'état de résister ; dans ce cas, l’auteur est puni d’une peine privative de liberté de six mois à dix ans (al. 1). Selon l’alinéa 2, quiconque, pris en flagrant délit de vol, commet un des actes de contrainte mentionnés à l’alinéa 1 dans le but de garder la chose volée</w:t>
      </w:r>
    </w:p>
    <w:p>
      <w:r>
        <w:t>- 30 - encourt la même peine. L’art. 140 ch. 2 CP mentionne que le brigandage est puni d’une peine privative de liberté d’un an au moins si son auteur se munit d’une arme à feu ou d’une autre arme dangereuse pour commettre le brigandage. L'art. 140 ch. 3 al. 3 CP prévoit une peine privative de liberté de deux ans au moins, si de toute autre manière la façon d'agir dénote que l'auteur est particulièrement dangereux. La notion du caractère particulièrement dangereux, visée par l'art. 140 ch. 3 al.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TF 6B_1160/2023 du 2 juillet 2024 consid. 2.1.1 ; TF 6B_1397/2019 du 12 janvier 2022 consid. 2.2, non publié in ATF 148 IV 89). Une mise en danger concrète de la victime suffit, sans qu'une lésion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 ATF 117 IV 419 consid. 4b ; TF 7B_13/2023 du 19 octobre 2023 consid. 3.2.1). La brutalité de l’auteur n’est en revanche pas indispensable (ATF 116 IV 312 précité consid. 2e ; TF 7B_13/2023 précité). 6.3 Les premiers juges ont retenu que Y.________ avait fait usage d’un couteau pour conserver la sacoche dérobée à C.________ et qu’il avait ainsi agi de manière particulièrement perfide et dangereuse, de sorte que la circonstance aggravante de l’art. 140 ch. 3 CP était réalisée.</w:t>
      </w:r>
    </w:p>
    <w:p>
      <w:r>
        <w:t>- 31 - S’agissant des faits, on doit retenir, pour les motifs exposés au considérant 3 ci-dessus, que Y.________ s’est énervé, qu’une bagarre a éclaté, les uns et les autres commençant à s’empoigner, que les différentes personnes présentes, soit principalement les membres de la famille R.________, se sont réfugiées dans le bar, que l’appelant a alors lancé des chopes de bière en direction de l’établissement, qu’à un moment donné, C.________, qui se trouvait à une table extérieure du bar, s’est éloigné de sa table pour se réfugier du comportement de Y.________, que celui-ci en a profité pour lui dérober sa sacoche et qu’il a par la suite frappé le plaignant lorsque ce dernier a cherché à récupérer son bien. En revanche, comme développé au considérant 3.3.2 ci-dessus, il existe un doute quant à la présence et à l’utilisation d’un couteau par l’appelant dans les coups qu’il a portés. On doit admettre en l’espèce que l’appelant a infligé des violences à C.________ pour conserver la sacoche qu’il venait de lui dérober. Cependant, dès lors qu’il existe un doute sur l’utilisation d’un couteau par l’appelant, on ne saurait suivre le raisonnement du Tribunal correctionnel et retenir le brigandage qualifié. Les conditions de l’art. 140 ch. 1 al. 2 CP sont donc réalisées et l’appelant doit être reconnu coupable de brigandage s’agissant des faits commis au préjudice de C.________. 7. 7.1 L’appelant, qui plaide sa libération de plusieurs chefs d’accusation et des circonstances atténuantes, conteste la peine prononcée à son encontre. Il soutient qu’il conviendrait de prendre en compte le contexte conflictuel particulier qui existerait avec la famille R.________, sa gentillesse, son bon comportement en prison, la thérapie initiée pour gérer ses émotions et ses problèmes d’addiction et sa prise de conscience, démontrée par les excuses formulées, ainsi que par l’admission d’une partie des faits et des conclusions civiles prises. 7.2</w:t>
      </w:r>
    </w:p>
    <w:p>
      <w:r>
        <w:t>- 32 - 7.2.1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w:t>
      </w:r>
    </w:p>
    <w:p>
      <w:r>
        <w:t>- 33 -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7.2.3 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w:t>
      </w:r>
    </w:p>
    <w:p>
      <w:r>
        <w:t>- 34 -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 7.3 Comme on l’a vu, c’est en vain que l’appelant plaide la légitime défense et sa libération des chefs d’accusation de lésions corporelles simples qualifiées, de lésions corporelles simples et de brigandage. Cela étant, dès lors qu’il doit être condamné pour brigandage simple, et non qualifié, il convient en tout état de cause de fixer à nouveau la peine. La culpabilité de l’appelant est importante. Comme l’ont relevé les premiers juges, il s’en est pris, sans aucun motif, à l’intégrité physique de plusieurs personnes de manière particulièrement crasse et rien n’a pu le détourner de sa volonté délictueuse malgré l’intervention de tiers. A charge, il convient de retenir le concours d’infractions. S’il a certes présenté des excuses, celles-ci sont tardives et semblent dictées par la procédure. Son comportement en détention n’est par ailleurs pas particulièrement bon et ne saurait avoir d’effet atténuant sur la peine, tout comme le contexte conflictuel qui aurait existé entre lui et certaines autres parties. A décharge, il y a uniquement lieu de prendre en compte</w:t>
      </w:r>
    </w:p>
    <w:p>
      <w:r>
        <w:t>- 35 - l’admission d’une partie des conclusions civiles et de certains faits par l’appelant. Y.________ est en définitive reconnu coupable de lésions corporelles simples, lésions corporelles simples qualifiées, brigandage, dommages à la propriété, rupture de ban, infraction à la LEI et contravention à la LStup. Sous réserve de la contravention commise, qui n’est passible que d’une amende, une peine privative de liberté s’impose pour sanctionner les autres infractions retenues à son encontre, ce genre de peine étant nécessaire pour faire comprendre à l’appelant qu’il doit quitter le chemin de la délinquance vu le peu d’effet dissuasif produit par ses précédentes condamnations. Il y a donc concours au sens de l’art. 49 al. 1 CP. L’infraction la plus grave est le brigandage, qui justifie à lui seul le prononcé d’une peine privative de liberté de douze mois. Les effets du concours conduisent à l’augmentation de cette peine de base de dix mois pour sanctionner les lésions corporelles simples qualifiées, de cinq mois pour réprimer les lésions corporelles simples, de trois mois pour les dommages à la propriété, de deux mois pour la rupture de ban et de deux mois supplémentaires pour l’infraction à la LEI. L’appelant doit ainsi être condamné à une peine privative de liberté de 34 mois. Le pronostic est défavorable. En effet, il dit être arrivé en Suisse en janvier 2022 et compte déjà deux condamnations à son casier judiciaire, ce qui est très inquiétant. L’octroi du sursis partiel est donc exclu. Il peut en revanche être renoncé à révoquer le sursis prononcé le 28 octobre 2022 par le Strafgerichtspräsident Baselstadt, dès lors que la première condamnation de l’appelant à une peine privative de liberté ferme devrait avoir un effet choc suffisant pour le détourner de la récidive par la suite.</w:t>
      </w:r>
    </w:p>
    <w:p>
      <w:r>
        <w:t>- 36 - Enfin, la peine d’amende d’un montant de 100 fr. prononcée pour sanctionner la contravention à la LStup, qui n’est au demeurant pas contestée, est adéquate compte tenu de la situation de l’appelant et de la faute commise, et doit être confirmée, tout comme la peine privative de liberté de substitution d’un jour à exécuter en cas de non-paiement fautif. 8. L’appelant ne conteste pas l’expulsion à vie du territoire suisse prononcée à son encontre et son inscription au SIS. Cette mesure sera confirmée, l’appelant remplissant les conditions des art. 66a al. 1 let. c et 66b al. 2 CP, dès lors qu’il n’a aucune attache avec la Suisse et qu’il a récidivé durant une première mesure d’expulsion. 9. 9.1 L’appelant conclut à une réduction de 78 jours de sa peine en raison des conditions de détention illicites en zone carcérale, puis à la prison du Bois-Mermet. 9.2 Aux termes de l’art. 431 al. 1 CPP, si le prévenu a, de manière illicite, fait l’objet de mesures de contrainte, l’autorité pénale lui alloue une juste indemnité et réparation du tort moral. 9.3 Dès lors qu’il a été détenu dans des conditions illicites pendant 24 jours en zone carcérale, puis pendant 227 jours dans les cellules 258 et 245 de la prison du Bois-Mermet (cf. P. 84), il y a en effet lieu d’indemniser l’appelant pour son tort moral et de déduire 78 jours de la peine privative de liberté prononcée au considérant 7.3 ci-dessus. L’appel doit être admis sur ce point. 10. Conformément à l’art. 51 CP, la détention subie avant jugement sera déduite de la peine privative de liberté prononcée.</w:t>
      </w:r>
    </w:p>
    <w:p>
      <w:r>
        <w:t>- 37 - Pour garantir l’exécution de la peine et de l’expulsion et au vu notamment du risque de fuite présenté par l’intéressé, le maintien de l’appelant en détention pour des motifs de sûreté doit être ordonné. 11. En définitive, l’appel de Y.________ doit être partiellement admis et le jugement entrepris réformé dans le sens des considérants qui précèdent. Il convient à cet égard de relever que le dispositif communiqué aux parties à la suite de l’audience d’appel est entaché d’une erreur manifeste, dans la mesure où il mentionne à tort, à son chiffre XI, que Y.________ est le débiteur de C.________ d’un montant de 500 fr. à titre d’indemnité pour tort moral, alors qu’une indemnité – dont le montant n’est pas contesté – de 5'000 fr. doit lui être allouée à ce titre. Cette erreur de plume sera rectifiée d’office en application de l’art. 83 CPP. 12. 12.1 Il n’y a pas lieu de s’écarter de la liste des opérations produite par Me Morgan Matthys, avocate-stagiaire en l’étude de Me Karine Stewart Harris, défenseur d’office de Y.________, qui fait état de 12.35 heures d’activité d’avocat breveté au tarif horaire de 180 fr. et de 10.16 heures d’activité d’avocat-stagiaire au tarif horaire de 110 fr., y compris la durée de l’audience d’appel estimée à 4 h 00 et la lecture du jugement estimée à 0.5 heure, ainsi que de deux vacations en prison à 120 fr. et de deux vacations en audience à 80 fr., si ce n’est pour tenir compte de la durée des débats d’appel et de l’absence de lecture du jugement et retrancher 2.5 heures au tarif horaire de 110 fr. et une vacation à 80 fr. à ce titre. C’est ainsi une indemnité de 3’727 fr. 90 qui sera allouée à Me Karine Stewart Harris pour la procédure d’appel, correspondant à 12.35 heures d’activité d’avocat breveté au tarif horaire de 180 fr., par 2’223 fr. et à 7.66 heures d’activité d’avocat-stagiaire au tarif horaire de 110 fr., par 842 fr. 60, à des débours forfaitaires à hauteur de 2 % des honoraires, par 62 fr. 95, à deux vacations à 120 fr. et à une vacation à 80 fr., par 320 fr., et à la TVA au taux de 8,1 %, par 279 fr. 35.</w:t>
      </w:r>
    </w:p>
    <w:p>
      <w:r>
        <w:t>- 38 - 12.2 Il n’y a pas non plus lieu de s’écarter de la liste des opérations produite par Me Marcel Waser, conseil d’office de C.________, qui fait état de 4 h 30 d’activité d’avocat, y compris la durée de l’audience d’appel correctement estimée à deux heures, et d’une vacation. Conformément à l’art. 3bis RAJ (règlement sur l’assistance judiciaire en matière civile du 7 décembre 2010 ; BLV 211.02.3), applicable par renvoi de l’art. 26b TFIP (tarif des frais de procédure et indemnités en matière pénale du 28 septembre 2010 ; BLV 312.03.1), les débours sont indemnisés sur une base forfaitaire à concurrence de 2 % du montant des honoraires, vacation et TVA en sus. C’est ainsi une indemnité de 1’022 fr. 85, correspondant à 4 h 30 d’activité d’avocat au tarif horaire de 180 fr., par 810 fr., à des débours forfaitaires à hauteur de 16 fr. 20, à une vacation à 120 fr. et à la TVA au taux de 8,1 %, par 76 fr. 65, qui sera allouée à Me Marcel Waser pour la procédure d’appel. 12.3 Vu l’issue de la cause, les frais de la procédure d’appel, par 8'310 fr. 75, constitués en l’espèce de l'émolument de jugement, par 3’560 fr. (art. 21 al. 1 et 2 TFIP), ainsi que des indemnités allouées au défenseur d’office de l’appelant, par 3’727 fr. 90, et au conseil d’office de C.________, par 1’022 fr. 85, seront mis par trois quarts, soit par 6’233 fr. 05, à la charge de l’appelant, qui succombe dans une large mesure, le solde étant laissé à la charge de l’Etat (art. 428 al. 1 CPP). Y.________ sera tenu de rembourser à l’Etat les parts mises à sa charge des indemnités en faveur de son défenseur d’office et du conseil d’office de C.________ lorsque sa situation financière le permettra (art. 135 al. 4 let. a CPP).</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