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PE23.014575 vom 10. Januar 2024</w:t>
      </w:r>
    </w:p>
    <w:p>
      <w:r>
        <w:t>VD Tribunal cantonal, 2024-01-10, FR</w:t>
      </w:r>
    </w:p>
    <w:p>
      <w:r>
        <w:rPr>
          <w:b/>
        </w:rPr>
        <w:t xml:space="preserve">Quelle: </w:t>
      </w:r>
      <w:r>
        <w:t>https://mcp.opencaselaw.ch/entscheid/vd_gerichte_PE23.014575</w:t>
      </w:r>
    </w:p>
    <w:p>
      <w:r>
        <w:t>FR: VD_GERICHTE PE23.014575 du 10 janvier 2024</w:t>
      </w:r>
    </w:p>
    <w:p>
      <w:r>
        <w:t>IT: VD_GERICHTE PE23.014575 del 10 gennaio 2024</w:t>
      </w:r>
    </w:p>
    <w:p>
      <w:pPr>
        <w:pStyle w:val="Heading2"/>
      </w:pPr>
      <w:r>
        <w:t>Erwägungen</w:t>
      </w:r>
    </w:p>
    <w:p>
      <w:r>
        <w:rPr>
          <w:b/>
        </w:rPr>
        <w:t>E. 1</w:t>
      </w:r>
    </w:p>
    <w:p>
      <w:r>
        <w:t>let. a, 306 et 307 CPP), que les éléments constitutifs d'une infraction ou les conditions d'ouverture de l'action pénale ne sont manifestement pas réunis (ATF 146 IV 68 consid. 2.1 ; TF 6B_1177/2022 du 21 février 2023 consid. 2.1).</w:t>
      </w:r>
    </w:p>
    <w:p>
      <w:r>
        <w:t>- 5 - Cette disposition doit être appliquée conformément à l'adage in dubio pro duriore, qui découle du principe de la légalité (art. 5 al. 1 Cst. [Constitution fédérale de la Confédération suisse du 18 avril 1999 ; RS 101]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 2.2.2 Le droit d'être entendu, tel qu'il est garanti par l'art. 29 al. 2 Cst. (Constitution fédérale du 18 avril 1999, RS 101) et, en procédure pénale, par l'art.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145 I 73 consid. 7.2.2.1 ; TF 6B_1244/2023 du 20 décembre 2023 consid. 2.2).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w:t>
      </w:r>
    </w:p>
    <w:p>
      <w:r>
        <w:t>- 6 - août 2021 consid. 7.2.2 ; TF 6B_1007/2020 du 13 avril 2021 consid. 2.3 ; TF 6B_290/2020 du 17 juillet 2020 consid. 2.2 et les réf.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6B_191/2021 précité consid. 7.2.2 ; TF 6B_1014/2020 du 10 février 2021 consid. 2.1.2 ; TF 6B_290/2020 précité consid. 7.2.2 et les réf. citées). 2.2.3 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2e éd., Bâle 2016, n. 4 ad art. 6 CPP et les références citées).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 modifier son opinion (TF 6B_524/2023 du 18 août 2023 consid. 3.1 ; TF 6B_317/2018 du 10 août 2018 consid. 3.2 et les arrêts cités). S’agissant des faits pertinents, l’autorité dispose d’une liberté d’appréciation étendue et il lui appartient, en fonction de la complexité du cas, de la gravité de l’infraction et des moyens financiers à</w:t>
      </w:r>
    </w:p>
    <w:p>
      <w:r>
        <w:t>- 7 - sa disposition, de définir le stade à partir duquel les faits sont suffisamment élucidés (Moreillon/Parein-Reymond, op. cit., n. 8 ad art. 6 CPP et les références citées). 2.2.4 Selon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2.2.5 L'art. 125 al. 1 CP réprime le comportement de celui qui, par négligence, aura fait subir à une personne une atteinte à l'intégrité corporelle ou à la santé.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6B_976/2023 du 29 novembre 2023 consid. 1.2 ; TF 6B_33/2021 du 12 juillet 2021 consid. 3.1; TF 6B_1081/2020 du 17 novembre 2021 consid. 1.2). Conformément à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ATF 135 IV 56 consid. 2.1 et les références citées). Pour déterminer plus précisément les devoirs imposés par la prudence, on peut se référer à des normes édictées par l'ordre juridique pour assurer la sécurité et éviter des accidents (ATF 143 IV 138 consid. 2.1). S'agissant d'un accident de la route, il convient de se référer aux règles de la circulation routière (ATF 122 IV 133 consid. 2a ; TF 6B_976/2023 précité consid. 1.2 ; TF 6B_286/2022 du 15 juin 2023 consid. 4.1.1).</w:t>
      </w:r>
    </w:p>
    <w:p>
      <w:r>
        <w:t>- 8 -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2.3 En l’espèce, le raisonnement du Ministère public est convaincant. Certes, les plaignants n’ont pas été entendus par la police, alors que le prévenu l’a été. Toutefois, conformément à la jurisprudence susmentionnée, le Ministère public pouvait statuer sur la base de la seule plainte de N.________ et P.________, sans procéder au préalable à leur audition. Les recourants ont en effet pu exercer leur droit d’être entendus au moyen du recours et ont donc eu la possibilité de compléter leur plainte et de présenter ou de requérir des moyens de preuve complémentaires. Or, les recourants se contentent de contester la version des faits du conducteur de bus, affirmant de surcroît que les versions des parties sont « totalement contradictoires », mais n’indiquent pas quelle mesure d’instruction pourrait aboutir à établir leur version des faits. En outre, les recourants n’exposent pas quel aurait été le devoir de prudence que le conducteur aurait violé, ni quelle serait la faute de celui-ci, en lien de causalité naturelle et adéquate avec les lésions constatées. Au vu de ce qui précède, aucune mesure d'instruction ne permettrait d'apporter des éclaircissements quant aux faits litigieux, les recourants n’en proposant du reste pas la moindre. On se trouve donc en présence de versions des faits qui sont irrémédiablement contradictoires et que l'ouverture d'une instruction ne serait pas à même de départager. Dans ce cas, la probabilité d’un acquittement du conducteur de bus est largement supérieure à celle d’une condamnation. C'est donc à bon droit que la procureure a rendu une ordonnance de non-entrée en matière.</w:t>
      </w:r>
    </w:p>
    <w:p>
      <w:r>
        <w:rPr>
          <w:b/>
        </w:rPr>
        <w:t>E. 3</w:t>
      </w:r>
    </w:p>
    <w:p>
      <w:r>
        <w:t>En définitive, le recours, manifestement mal fondé, doit être rejeté sans échange d’écritures (art. 390 al. 2 CPP) et l’ordonnance attaquée confirmée.</w:t>
      </w:r>
    </w:p>
    <w:p>
      <w:r>
        <w:t>- 9 - Les frais de la procédure de recours, constitués en l’espèce du seul émolument d’arrêt (art. 422 al. 1 CPP), par 880 fr. (art. 20 al. 1 TFIP [tarif des frais de procédure et indemnités en matière pénale du 28 septembre 2010 ; BLV 312.03.1]), seront mis à la charge des recourants, qui succombent (art. 428 al. 1 CPP), à parts égales et solidairement entre eux (art. 418 al. 1 et 2 CPP). La cause – et donc les conclusions civiles – étant dénuée de chances de succès (art. 136 al. 1 let. b CPP), la requête d’assistance judiciaire doit être rejetée. Par ces motifs, la Chambre des recours pénale prononce : I. Le recours est rejeté. II. L’ordonnance du 2 août 2023 est confirmée. III. La requête d’assistance judiciaire est rejetée. IV. Les frais d’arrêt, par 880 fr. (huit cent huitante francs), sont mis à la charge de N.________ et de P.________, à parts égales et solidairement entre eux. V. L’arrêt est exécutoire. La vice- présidente : La greffière :</w:t>
      </w:r>
    </w:p>
    <w:p>
      <w:r>
        <w:t>- 10 - Du Le présent arrêt, dont la rédaction a été approuvée à huis clos, est notifié, par l'envoi d'une copie complète, à : - Me Isabelle Jaques, avocate (pour N.________ et P.________), - Ministère public central ; et communiqué à : - Mme la Procureure de l’arrondissement de Lausanne, - M. A.________,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