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PE23.013906 vom 6. Januar 2025</w:t>
      </w:r>
    </w:p>
    <w:p>
      <w:r>
        <w:t>VD Tribunal cantonal, 2025-01-06, FR</w:t>
      </w:r>
    </w:p>
    <w:p>
      <w:r>
        <w:rPr>
          <w:b/>
        </w:rPr>
        <w:t xml:space="preserve">Quelle: </w:t>
      </w:r>
      <w:r>
        <w:t>https://mcp.opencaselaw.ch/entscheid/vd_gerichte_PE23.013906</w:t>
      </w:r>
    </w:p>
    <w:p>
      <w:r>
        <w:t>FR: VD_GERICHTE PE23.013906 du 6 janvier 2025</w:t>
      </w:r>
    </w:p>
    <w:p>
      <w:r>
        <w:t>IT: VD_GERICHTE PE23.013906 del 6 gennaio 2025</w:t>
      </w:r>
    </w:p>
    <w:p>
      <w:pPr>
        <w:pStyle w:val="Heading2"/>
      </w:pPr>
      <w:r>
        <w:t>Erwägungen</w:t>
      </w:r>
    </w:p>
    <w:p>
      <w:r>
        <w:rPr>
          <w:b/>
        </w:rPr>
        <w:t>E. 1</w:t>
      </w:r>
    </w:p>
    <w:p>
      <w:r>
        <w:t>- 9 -</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Cette disposition autorise également le détenu, malgré une formulation peu claire, à attaquer devant l’autorité de recours une décision refusant la libération de la détention (CREP 23 mai 2024/390 consid. 1.1 ; CREP 8 mai 2024/358 consid. 1.1 ; CREP 29 avril 2024/320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prévenu détenu qui a qualité pour recourir (art. 382 al. 1 CPP) et dans les formes prescrites (art. 385 al. 1 CPP), le recours est recevable sous réserve de ce qui suit (cf. infra consid. 3).</w:t>
      </w:r>
    </w:p>
    <w:p>
      <w:r>
        <w:rPr>
          <w:b/>
        </w:rPr>
        <w:t>E. 2.1</w:t>
      </w:r>
    </w:p>
    <w:p>
      <w:r>
        <w:t>Le recourant soutient que la décision entreprise serait entachée d’arbitraire au motif que le premier juge se serait écarté des conclusions de l’expertise déposée le 25 octobre 2024 – qui préconisait la mise en place d’un traitement ambulatoire au sens de l’art. 63 CP – sans en expliquer les raisons. Ce faisant, il semble se plaindre d’un défaut de motivation, soit d’une violation de son droit d’être entendu.</w:t>
      </w:r>
    </w:p>
    <w:p>
      <w:r>
        <w:rPr>
          <w:b/>
        </w:rPr>
        <w:t>E. 2.2</w:t>
      </w:r>
    </w:p>
    <w:p>
      <w:r>
        <w:t>et les réf. cit.).</w:t>
      </w:r>
    </w:p>
    <w:p>
      <w:r>
        <w:rPr>
          <w:b/>
        </w:rPr>
        <w:t>E. 2.3</w:t>
      </w:r>
    </w:p>
    <w:p>
      <w:r>
        <w:t>À la lecture du prononcé entrepris, on comprend que le premier juge a considéré que la préconisation d’instaurer un traitement ambulatoire paraissait insuffisante pour contrer le risque de réitération, dès lors qu’une telle mesure était déjà en place – et s’est avérée totalement inefficace – lorsque le recourant a réitéré ses menaces à l’encontre de ses curatrices successives. Le TMC en a déduit qu’aussi longtemps que les experts n’auraient pas livré leurs conclusions complémentaires quant à l’opportunité de la mise en œuvre d’une mesure thérapeutique institutionnelle au sens de l’art. 59 CP ou d’un traitement ambulatoire au sens de l’art. 63 CP, seule la détention était à même de prévenir la commission de nouvelles infractions. C’est donc en vain que le recourant se prévaut d’une violation de son droit d’être entendu. Mal fondé, ce grief doit être rejeté.</w:t>
      </w:r>
    </w:p>
    <w:p>
      <w:r>
        <w:rPr>
          <w:b/>
        </w:rPr>
        <w:t>E. 3.1</w:t>
      </w:r>
    </w:p>
    <w:p>
      <w:r>
        <w:t>Le recourant invoque l’établissement inexact des faits. Il reproche au premier juge de ne pas avoir tenu compte de l’effet préventif de la détention subie, de l’impact de cette détention sur sa santé mentale et de l’absence de dangerosité immédiate alors que ces différents éléments résulteraient de l’expertise. Selon lui, ces lacunes justifieraient l’annulation de l’ordonnance querellée.</w:t>
      </w:r>
    </w:p>
    <w:p>
      <w:r>
        <w:rPr>
          <w:b/>
        </w:rPr>
        <w:t>E. 3.2</w:t>
      </w:r>
    </w:p>
    <w:p>
      <w:r>
        <w:t>Les exigences de motivation du recours (art. 390 al. 1 et 396 al. 1 CPP) sont posées à l’art. 385 al. 1 CPP. Selon cette disposition, la</w:t>
      </w:r>
    </w:p>
    <w:p>
      <w:r>
        <w:t>- 11 -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réf. cit.). La motivation doit être complète, si bien qu'un simple renvoi à d'autres écritures n'est pas suffisant (TF 6B_1447/2022 précité ; cf. en lien avec l’art. 42 LTF [loi sur le Tribunal fédéral du 17 juin 2005 ; RS 173.110], ATF 140 III 115 consid. 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3.3</w:t>
      </w:r>
    </w:p>
    <w:p>
      <w:r>
        <w:t>En l’espèce, on relèvera tout d’abord qu’une éventuelle constatation inexacte des faits ne serait pas de nature à conduire à l’annulation de la décision entreprise, mais pourrait tout au plus imposer un complément de l’état de fait retenu en première instance. Quoi qu’il en</w:t>
      </w:r>
    </w:p>
    <w:p>
      <w:r>
        <w:t>- 12 - soit, le recourant se borne à livrer sa propre interprétation de l’expertise, sans toutefois citer expressément ni faire référence à des passages du rapport qui soutiendraient son point de vue. Faute de motivation suffisante, ce grief est irrecevable.</w:t>
      </w:r>
    </w:p>
    <w:p>
      <w:r>
        <w:rPr>
          <w:b/>
        </w:rPr>
        <w:t>E. 4.1</w:t>
      </w:r>
    </w:p>
    <w:p>
      <w:r>
        <w:t>Le recourant conteste l’existence d’un risque de récidive qualifié. Il fait valoir que ce constat irait à l’encontre des conclusions des experts, lesquels ont relevé qu’il adhérait au traitement prodigué en prison et exprimait un engagement sérieux à poursuive sa thérapie après sa libération, et n’ont pas qualifié le risque de récidive comme étant grave et imminent. Il ajoute que les comportements qu’on lui reproche sont liés à des frustrations autour de conflits administratifs et financiers et qu’il n’y a pas eu de nouveaux faits depuis le dépôt du rapport d’expertise en octobre 2024. Il conteste également le risque de passage à l’acte retenu par le TMC. Il soutient qu’il a toujours nié vouloir faire du mal à qui que ce soit, qu’il n’a jamais tenté de passer à l’acte depuis sa précédente condamnation et qu’aussitôt que la personne concernée n’est plus sa curatrice, il cesse de l’importuner.</w:t>
      </w:r>
    </w:p>
    <w:p>
      <w:r>
        <w:rPr>
          <w:b/>
        </w:rPr>
        <w:t>E. 4.2</w:t>
      </w:r>
    </w:p>
    <w:p>
      <w:r>
        <w:t>L'art. 221 al. 1 let. c CPP, dans sa teneur au 1er janvier 2024,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récente du Tribunal fédéral, l'application de cette disposition (risque de récidive simple) présuppose, pour placer un prévenu en détention avant jugement, que celui-ci ait déjà été reconnu coupable pour au moins deux infractions du même genre (TF 7B_1035/2024 du 19 novembre 2024 consid. 2.11 destiné à la publication). La prévention du risque de récidive doit permettre de faire prévaloir l'intérêt de la sécurité publique sur la liberté personnelle du prévenu (ATF 137 IV 13 consid. 3 et 4 ; TF 7B_1089/2024 du 6 novembre 2024 consid. 3.2.2). Pour établir le pronostic</w:t>
      </w:r>
    </w:p>
    <w:p>
      <w:r>
        <w:t>- 13 -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(ATF 146 IV 326 consid. 3.1 et les réf. cit. ; TF 7B_1251/2024 du 16 décembre 2024 consid. 3.2). Selon l’art.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1er janvier 2024).</w:t>
      </w:r>
    </w:p>
    <w:p>
      <w:r>
        <w:rPr>
          <w:b/>
        </w:rPr>
        <w:t>E. 4.3</w:t>
      </w:r>
    </w:p>
    <w:p>
      <w:r>
        <w:t>En l’espèce, il est vrai que les infractions qui sont reprochées au recourant dans le cadre de la présente affaire – diffamation, injure, menaces, tentative de contrainte et violence ou menaces contre les autorités et les fonctionnaires – ne sont pas passibles d’une peine</w:t>
      </w:r>
    </w:p>
    <w:p>
      <w:r>
        <w:t>- 14 - privative de liberté de plus de trois ans et ne constituent donc pas des crimes (art. 10 al. 2 CP). Il faut par ailleurs donner acte au recourant que, dans leur rapport du 25 octobre 2024, les expertes ont estimé qu’un risque d’escalade – soit de commission d’infractions plus graves – leur paraissait peu probable dans la mesure où le recourant n’avait pas d’antécédents de violence physique, qu’il exprimait le souhait de ne pas commettre d’actes délictueux à l’avenir en s’investissant davantage dans sa thérapie et qu’il se montrait particulièrement marqué par sa première incarcération. Il s’ensuit que le risque que le recourant commette prochainement un crime grave ne parait à ce stade plus vraisemblable. L’existence d’un risque de récidive qualifié (art. 221 al. 1bis CPP) ou de passage à l’acte (art. 221 al. 2 CPP) – qui supposent tous les deux le danger qu’un crime grave soit commis – ne pouvait ainsi, postérieurement à l’expertise psychiatrique, plus être retenu par l’autorité précédente. Il n’en demeure pas moins que le recourant a déjà, sur dénonciation du SCTP du 21 janvier 2019, été condamné par ordonnance pénale du 29 octobre 2019 pour violence ou menace contre les autorités et les fonctionnaires, injure, contrainte et tentative de contrainte. Cette condamnation faisait suite à l’envoi de plusieurs messages contenant des menaces de mort contre son ancienne curatrice, G.________, au motif que le recourant était fâché contre elle parce qu’elle restreignait ses demandes d’argent. L’enquête avait en outre permis d’établir que le recourant s’était procuré un pistolet à billes qu’il comptait utiliser pour aller menacer sa curatrice. Il ressort par ailleurs du dossier qu’avant cette première condamnation, une séance de médiation avait été organisée auprès de la Police cantonale. Le recourant avait alors pris l’engagement de ne plus importuner sa curatrice. La condamnation qui a suivi démontre qu’il n’est manifestement pas parvenu à respecter cet engagement. Qui plus est, en dépit de cette condamnation, le recourant a continué à proférer des menaces à l’encontre de sa nouvelle curatrice, ce qui a conduit à une deuxième dénonciation du SCTP le 18 février 2020. A la faveur d’une nouvelle médiation, le recourant a dans ce cas pu bénéficier d’une</w:t>
      </w:r>
    </w:p>
    <w:p>
      <w:r>
        <w:t>- 15 - ordonnance de non-entrée en matière qui a été rendue le 30 juin 2020. Le 13 juillet 2023, le SCTP a toutefois dû déposer une nouvelle dénonciation contre le recourant, en raison du comportement qu’il avait adopté contre sa nouvelle curatrice, V.________. Les 9 et 15 août 2023, celle-ci a également personnellement porté plainte pour violence ou menace contre les autorités et les fonctionnaires en raison des propos menaçants qu’il tenait à son encontre. Entendu par le Ministère public le 15 novembre 2023, le recourant a été clairement informé des conséquences qu’aurait une nouvelle récidive ; il s’est par ailleurs engagé à ne pas recommencer. Le 19 janvier 2024, la nouvelle et énième curatrice du recourant, Q.________, a malgré tout dû, elle aussi, déposer une plainte pour dénoncer de nouveaux comportements inadmissibles du recourant, notamment le partage de son identité sur les réseaux sociaux, accompagnée d’injures. En outre, dans leur rapport du 25 octobre 2024, les expertes qui ont procédé à l’expertise psychiatrique de X.________ ont retenu les diagnostics de troubles envahissants du développement, de retard mental léger, de trouble mental sans précision due à une lésion cérébrale ou à un dysfonctionnement cérébral ou à une affection physique ainsi que de trouble dépressif récurrent, actuellement en rémission. Elles ont par ailleurs relevé que ces troubles impliquaient notamment une immaturité associée à une tendance à agir de manière impulsive face à la frustration. Considérant les principaux facteurs de risque de violence interpersonnelle présents dans la situation actuelle du recourant, – à savoir ses antécédents d’actes délictueux similaires à ceux qui lui sont reprochés actuellement, ses problèmes dans ses relations interpersonnelles depuis l’enfance (avec en particulier des difficultés de compréhension des autres) et ses attitudes violentes (agressivité verbale face à la frustration), ses problèmes d’emploi ayant également impliqué des problèmes sur le plan financier, la persistance de troubles psychiques sévères avec des difficultés d’introspection et de l’instabilité, ses antécédents d’événements traumatiques, ses difficultés d’adhésion aux soins thérapeutiques et médicamenteux par le passé et ses difficultés de gestion du stress – elles ont en outre retenu que le risque de récidive d’infractions similaires à celles qui sont reprochées au recourant devait être qualifié d’élevé.</w:t>
      </w:r>
    </w:p>
    <w:p>
      <w:r>
        <w:t>- 16 - Il résulte de ce qui précède que le recourant a déjà commis et été condamné pour plusieurs infractions du même genre que celles qui lui sont aujourd’hui reprochées. Malgré cette précédente condamnation, les médiations organisées, les mises en garde et les engagements pris, il s’est montré totalement incapable de se maîtriser et a continué à menacer ses curatrices à chaque fois qu’il était contrarié par la manière dont ses revenus étaient gérés. À cet égard, ses actes ont même gagné en fréquence puisque deux curatrices ont déposé plainte à son encontre à six mois d’intervalle. On relève au demeurant que le recourant est aujourd’hui encore convaincu que ses différents curateurs lui volent son salaire (P. 95). Le risque qu’il récidive à nouveau en commettant des infractions du même genre – qui ne sont certes pas des crimes, mais tout de même des délits graves s’agissant en particulier des menaces de mort – est donc patent et d’ailleurs confirmé par les experts. Il s’ensuit que les conditions posées à l’art. 221 al. 1 let. c CPP sont manifestement réalisées.</w:t>
      </w:r>
    </w:p>
    <w:p>
      <w:r>
        <w:rPr>
          <w:b/>
        </w:rPr>
        <w:t>E. 5.1</w:t>
      </w:r>
    </w:p>
    <w:p>
      <w:r>
        <w:t>Le recourant reproche au premier juge d’avoir refusé les mesures de substitution proposées – à savoir l’obligation de se soumettre à un suivi thérapeutique ambulatoire auprès de l’hôpital de Cery ou de tout médecin susceptible d’offrir une prise en charge similaire, subsidiairement le placement au sein de l’hôpital psychiatrique de Cery, et interdiction de contact avec les deux plaignantes – au motif que ces mesures ne dépendaient que de sa volonté. Il fait à cet égard valoir qu’il serait désormais conscient du fait qu’une violation de ses engagements impliquerait un retour en détention. Il soutient pour le reste que la durée de sa détention serait disproportionnée au regard de la gravité des actes commis.</w:t>
      </w:r>
    </w:p>
    <w:p>
      <w:r>
        <w:rPr>
          <w:b/>
        </w:rPr>
        <w:t>E. 5.2.1</w:t>
      </w:r>
    </w:p>
    <w:p>
      <w:r>
        <w:t>Conformément au principe de la proportionnalité (art. 36 al. 3 Cst. ; pour la procédure pénale, cf. art. 197 al. 1 let. c CPP), il convient d'examiner les possibilités de mettre en œuvre d'autres solutions moins dommageables que la détention (règle de la nécessité). Cette exigence est</w:t>
      </w:r>
    </w:p>
    <w:p>
      <w:r>
        <w:t>- 17 -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Un placement en institution avant un jugement au fond n'est en principe pas exclu ; la liste des mesures de substitution énoncée à l'art. 237 CPP n'est en effet pas exhaustive (ATF 145 IV 503 consid. 3.1 ; 142 IV 367 consid. 2.1) et rien ne s'oppose à un tel placement, combiné le cas échéant avec d'autres mesures, si cela permet d'atteindre le même but que la détention. Une telle mesure doit cependant reposer sur un avis d'expert (TF 1B_284/2023 du 16 juin 2023 consid. 2.1 ; TF 1B_402/2020 du 21 août 2020 consid. 4.3.4 ; TF 1B_171/2019 du 8 mai 2019 consid. 3.1).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 il est toutefois susceptible de faire l'objet d'une exécution anticipée de mesure selon l'art. 236 CPP (TF 1B_284/2023 précité ; TF 1B_402/2020 précité ; TF 1B_171/2019 précité), cette démarche supposant alors une demande du prévenu en ce sens et l'accord de la direction de la procédure (cf. art. 236 al. 1 CPP). Au demeurant, le choix d'une mesure au sens des art. 59 ss CP relève en</w:t>
      </w:r>
    </w:p>
    <w:p>
      <w:r>
        <w:t>- 18 - principe du juge du fond. Une mesure de substitution ayant les caractéristiques d'une mesure au sens des art. 59 ss CP ne peut ainsi pas être ordonnée par le juge de la détention sans que toutes les conditions en soient a priori assurées (TF 7B_810/2024 du 23 août 2024 consid. 4.2.1 et les réf. cit.)</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5.3</w:t>
      </w:r>
    </w:p>
    <w:p>
      <w:r>
        <w:t>En l’espèce, on relèvera tout d’abord qu’à ce stade, les expertes n’ont pas préconisé une mesure institutionnelle au sens de l’art. 59 CP, de sorte qu’une mesure de substitution sous la forme d’un placement à l’hôpital de Cery ne paraît pas envisageable. En revanche, les expertes ont en l’état estimé que l’ordonnance d’une mesure thérapeutique ambulatoire au sens de l’art. 63 CP était indiquée en termes de réduction du risque de récidive. Elles ont en particulier relevé qu’un traitement psychiatrique et psychothérapeutique ambulatoire, éventuellement associé à une médication adaptée sur le long terme, pourrait permettre de diminuer le risque de récidive que présente le recourant, ce type d’accompagnement pouvant aider l’intéressé à trouver un sens à des situations qui le rendent perplexe, à mieux comprendre son fonctionnement psychique et à mieux gérer ses colères et la frustration. Elles ont également souligné que le fait que le recourant adhère actuellement au traitement thérapeutique et médicamenteux en prison, qu’il s’investisse dans la thérapie et qu’il exprime le souhait de poursuivre ses soins à sa sortie de prison</w:t>
      </w:r>
    </w:p>
    <w:p>
      <w:r>
        <w:t>- 19 - augmentaient les chances de succès de la thérapie. Il ressort toutefois du rapport médical du 25 juin 2024 établi par le SMPP que l’alliance thérapeutique avec le recourant est encore fragile. Les expertes ont de leur côté aussi indiqué que l’ampleur des troubles psychiques du recourant, sa rigidité de pensée, ses faibles capacités d’élaboration, son manque de conscience morbide et ses difficultés d’adhésion aux soins sur du long terme étaient susceptibles de compromettre la thérapie. Enfin et surtout, le recourant ne prétend pas que des contacts auraient été pris avec un quelconque thérapeute, au sein de l’hôpital de Cery ou ailleurs, pour assurer son suivi en cas de libération. À ce stade, rien n’indique donc qu’un suivi effectif pourrait être mis en place à la sortie de prison du recourant ni qu’il serait suffisant pour prévenir tout risque de récidive. Quant à l’interdiction de prendre contact avec les deux plaignantes et K.________, on ne peut que constater qu’une telle interdiction ne reposerait effectivement que sur la bonne volonté du prévenu, ce qui est insuffisant. Dans ces conditions, force est de constater qu’il n’existe pas de mesure de substitution propre à prévenir le risque de récidive retenu. Pour le reste, les infractions reprochées au recourant sont graves, celui-ci ayant en particulier explicitement menacé de s’en prendre à la vie de l’une de ses curatrices. L’intéressé a par ailleurs un antécédent pour des infractions du même genre et a d’autre part récidivé en cours d’enquête malgré plusieurs médiations et mises en garde. On relèvera également le concours d’infractions. À ce stade, la durée de la détention – y compris la prolongation ordonnée – ne paraît donc pas encore dépasser la durée de la peine prévisible et demeure par conséquent acceptable, étant toutefois précisé qu’il convient que l’instruction soit menée à terme avec célérité.</w:t>
      </w:r>
    </w:p>
    <w:p>
      <w:r>
        <w:rPr>
          <w:b/>
        </w:rPr>
        <w:t>E. 6</w:t>
      </w:r>
    </w:p>
    <w:p>
      <w:r>
        <w:t>En définitive, le recours, manifestement mal fondé, doit être rejeté sans échange d'écritures (art. 390 al. 2 CPP) dans la mesure où il est recevable, et l’ordonnance du 19 décembre 2024 confirmée.</w:t>
      </w:r>
    </w:p>
    <w:p>
      <w:r>
        <w:t>- 20 - Au vu de la nature de la cause et de l’acte déposé par Me Benjamin Schwab, défenseur d’office du recourant, il sera retenu 4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Viennent s’y ajouter des débours forfaitaires à hauteur de 2 % des honoraires admis (art. 3bis al. 1 RAJ), soit 14 fr. 40, et la TVA au taux de 8,1 % sur le tout, par 59 fr. 48. L’indemnité d’office s’élève ainsi au total à 794 fr. en chiffres arrondis. Vu le sort du recours, les frais de la procédure, constitués de l’émolument d’arrêt, par 1’980 fr. (art. 20 al. 1 TFIP), et de l’indemnité due au défenseur d’office (art. 422 al. 1 et 2 let. a CPP), par 794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dans la mesure où il est recevable. II. L’ordonnance du 19 décembre 2024 est confirmée. III. L’indemnité allouée à Me Benjamin Schwab, défenseur d’office de X.________, est fixée à 794 fr. (sept cent nonante-quatre francs). IV. Les frais d’arrêt, par 1’980 fr. (mille neuf cent huitante francs), ainsi que l’indemnité allouée à Me Benjamin Schwab, par 794 fr. (sept cent nonante-quatre francs), sont mis à la charge de X.________.</w:t>
      </w:r>
    </w:p>
    <w:p>
      <w:r>
        <w:t>- 21 - V. Le remboursement à l’Etat de l’indemnité allouée au chiffre III ci-dessus sera exigible de X.________ dès que sa situation financière le permettra. VI. L’arrêt est exécutoire. Le président : La greffière :</w:t>
      </w:r>
    </w:p>
    <w:p>
      <w:r>
        <w:t>- 22 - Du Le présent arrêt, dont la rédaction a été approuvée à huis clos, est notifié, par l'envoi d'une copie complète, à : - Me Benjamin Schwab, avocat (pour X.________),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