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PE23.013656 vom 19. Juli 2024</w:t>
      </w:r>
    </w:p>
    <w:p>
      <w:r>
        <w:t>VD Tribunal cantonal, 2024-07-19, FR</w:t>
      </w:r>
    </w:p>
    <w:p>
      <w:r>
        <w:rPr>
          <w:b/>
        </w:rPr>
        <w:t xml:space="preserve">Quelle: </w:t>
      </w:r>
      <w:r>
        <w:t>https://mcp.opencaselaw.ch/entscheid/vd_gerichte_PE23.013656</w:t>
      </w:r>
    </w:p>
    <w:p>
      <w:r>
        <w:t>FR: VD_GERICHTE PE23.013656 du 19 juillet 2024</w:t>
      </w:r>
    </w:p>
    <w:p>
      <w:r>
        <w:t>IT: VD_GERICHTE PE23.013656 del 19 luglio 2024</w:t>
      </w:r>
    </w:p>
    <w:p>
      <w:pPr>
        <w:pStyle w:val="Heading2"/>
      </w:pPr>
      <w:r>
        <w:t>Erwägungen</w:t>
      </w:r>
    </w:p>
    <w:p>
      <w:r>
        <w:rPr>
          <w:b/>
        </w:rPr>
        <w:t>E. 8</w:t>
      </w:r>
    </w:p>
    <w:p>
      <w:r>
        <w:t>avril 2023, il avait ainsi reconnu avoir « exprimé ses émotions » face à W.________, sans toutefois admettre qu’il aurait pu s’emporter au point de lui dire en substance qu’il allait venir chez elle pour s’en prendre à son chien. Cette appréciation ne prête pas le flanc à la critique et peut être confirmée. A titre d’exemple, on peut encore ajouter que l’appelant n’a pas hésité à prétendre que c’était « la faute du facteur » s’il n’avait pas reçu les courriers que lui avait adressés le tribunal (cf. jgt, p. 7). Il faut également relever, avec le premier juge, que les faits reprochés sont en adéquation avec le constat qui peut être fait quant au comportement général de l’appelant, qui, comme le démontre en particulier son attitude à l’égard des siens (cas n° 1 et 2 de l’acte d’accusation), érige la menace et l’intimidation en mode de vie. Il se décrit d’ailleurs lui-même comme « quelqu’un de spontané », qui « ne cache pas [ses] émotions » (cf. jgt, p. 8) ou encore comme « quelqu’un de très direct, qui parle directement au visage » (cf. jgt, p. 10). Par ailleurs, on observe qu’à la question de savoir s’il était possible qu’il ait dit à la plaignante : « Tu vas voir, ton chien… », l’appelant n’a pas répondu par la négative, mais s’est limité à déclarer qu’il ne se souvenait pas de cela (cf. jgt, p. 8), ce qui renforce encore la crédibilité de la plaignante. Enfin, on ne distingue pas qu’elle aurait été l’intérêt de cette dernière de dénoncer faussement l’appelant, en sachant, au vu de sa personnalité, que cette démarche ne ferait qu’envenimer les choses. Au contraire, elle a agi ainsi car elle craignait pour elle et son chien. Au moment des faits, elle a, du reste, immédiatement fait appel à la police, ce qui démontre aussi qu’elle a été particulièrement perturbée par le comportement de l’appelant. En définitive, force est de constater que, de manière générale, l’appelant ne fait que reporter sa frustration sur les autres, sans jamais se remettre en question. Le comportement qu’il a adopté envers la plaignante répond à cette logique. En définitive, les faits tels que décrits aux chiffres 3 et 4 de l’acte d’accusation doivent être tenus pour établis.</w:t>
      </w:r>
    </w:p>
    <w:p>
      <w:r>
        <w:t>- 14 - Partant, la condamnation de l’appelant pour menaces doit être confirmée, cette qualification juridique n’étant du reste pas contestée. Il peut à cet égard être renvoyé, par adoption de motifs, à la motivation du jugement entrepris, qui est parfaitement correcte (art. 82 al. 4 CPP ; cf. jgt, pp. 20 et 21). L’appelant doit en outre être condamné pour dénonciation calomnieuse, puisqu’il a accusé la plaignante, qu’il savait innocente, d’avoir commis le même crime et d’avoir induit la justice en erreur par de fausses accusations. La motivation du premier juge à ce propos ne prête pas non plus le flanc à la critique et peut donc également être confirmée (cf. jgt, p. 20). 5. L’appelant, qui conclut à son acquittement des chefs d’accusation de menaces et de dénonciation calomnieuse, ne conteste pas à titre subsidiaire la quotité de la peine à laquelle il a été condamné. Vérifiée d’office, la peine pécuniaire prononcée par le premier juge a été fixée en application des critères légaux, tels que prévus à l’art. 47 CP, et conformément à la culpabilité de l’appelant, qui doit être qualifiée d’importante, ce d’autant qu’il a démontré, en appel, une absence totale de remise en question, persistant à nier, malgré l’évidence, tout comportement menaçant de sa part et ce, alors même que la plaignante était disposée à retirer sa plainte moyennant une simple reconnaissance des faits. Au surplus, il peut être renvoyé, par adoption de motifs, à la motivation du jugement attaqué (art. 82 al. 4 CPP ; cf. jgt, p. 21), qui est parfaitement claire et convaincante. La dénonciation calomnieuse (art. 303 ch. 1 CP ; cas n° 4 de l’acte d’accusation), punissable d’une peine privative de cinq ans au plus ou d’une peine pécuniaire, constitue l’infraction la plus grave. Elle justifie en l’espèce une peine de 40 jours-amende. Celle-ci sera augmentée, par l’effet du concours (art. 49 al. 1 CP), de 80 jours pour sanctionner les menaces qualifiées (cas n° 2), de 40 jours pour la contrainte (cas n° 1) et de 20 jours pour les menaces (cas n° 3). Il s’ensuit que la peine pécuniaire de 180 jours-amende prononcée en première instance est adéquate et peut être confirmé. En revanche, le montant du jour-amende sera réduit à 20 fr. pour tenir compte de la situation financière actuelle de l’appelant.</w:t>
      </w:r>
    </w:p>
    <w:p>
      <w:r>
        <w:t>- 15 - Au vu des antécédents de l’appelant, qui a déjà condamné en décembre 2018 pour des infractions similaires, à savoir menaces et tentative de contrainte, et de son absence totale de remise en question, le pronostic est défavorable, de sorte que les conditions du sursis ne sont pas réalisées. La peine ne peut dès lors être que ferme. 6. En définitive, l’appel de A.T.________ doit être partiellement admis, en ce sens que le montant du jour-amende est fixé à 20 francs. Le jugement sera confirmé pour le surplus. Vu l’issue de la cause, les frais de la procédure d’appel, par 1’390 fr., constitués de l’émolument de jugement et d’audience (art. 21 al. 1 et 2 TFIP [tarif des frais de procédure et indemnités en matière pénale du 28 septembre 2010 ; BLV 312.03.1]), seront mis par trois quarts, soit par 1042 fr. 50, à la charge de A.T.________, qui succombe dans cette mesure,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