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PE23.013647 vom 27. September 2023</w:t>
      </w:r>
    </w:p>
    <w:p>
      <w:r>
        <w:t>VD Tribunal cantonal, 2023-09-27, FR</w:t>
      </w:r>
    </w:p>
    <w:p>
      <w:r>
        <w:rPr>
          <w:b/>
        </w:rPr>
        <w:t xml:space="preserve">Quelle: </w:t>
      </w:r>
      <w:r>
        <w:t>https://mcp.opencaselaw.ch/entscheid/vd_gerichte_PE23.013647</w:t>
      </w:r>
    </w:p>
    <w:p>
      <w:r>
        <w:t>FR: VD_GERICHTE PE23.013647 du 27 septembre 2023</w:t>
      </w:r>
    </w:p>
    <w:p>
      <w:r>
        <w:t>IT: VD_GERICHTE PE23.013647 del 27 settembre 2023</w:t>
      </w:r>
    </w:p>
    <w:p>
      <w:pPr>
        <w:pStyle w:val="Heading2"/>
      </w:pPr>
      <w:r>
        <w:t>Erwägungen</w:t>
      </w:r>
    </w:p>
    <w:p>
      <w:r>
        <w:rPr>
          <w:b/>
        </w:rPr>
        <w:t>E. 1</w:t>
      </w:r>
    </w:p>
    <w:p>
      <w:r>
        <w:t>Déposé en temps utile (art. 396 al. 1 CPP [Code de procédure pénale suisse du 5 octobre 2007 ; RS 312.0]), dans les formes prescrites</w:t>
      </w:r>
    </w:p>
    <w:p>
      <w:r>
        <w:t>- 4 - (art. 385 al. 1 CPP), contre une ordonnance de non-entrée en matière rendue par le ministère public (art. 393 al. 1 let. a CPP), par la plaignante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w:t>
      </w:r>
    </w:p>
    <w:p>
      <w:r>
        <w:rPr>
          <w:b/>
        </w:rPr>
        <w:t>E. 2</w:t>
      </w:r>
    </w:p>
    <w:p>
      <w:r>
        <w:t>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Une procédure pénale peut ainsi, conformément à l'art. 310 al. 1 CPP, être liquidée par ordonnance de non-entrée en matière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w:t>
      </w:r>
    </w:p>
    <w:p>
      <w:r>
        <w:t>- 5 - 141 IV 87 consid. 1.3.1 ; TF 6B_196/2020 du 14 octobre 2020 consid. 3.1). Dans le doute, lorsque les conditions d'une non-entrée en matière ne sont pas réalisées avec une certitude absolue, l'instruction doit être ouverte (TF 6B_196/2020 précité ; ATF 143 IV 241 consid. 2.2.1 ; ATF 138 IV 86 consid. 4.1 ; ATF 137 IV 219 consid. 7 et 285 consid. 2.3). Le principe in dubio pro duriore ne trouve ensuite application que lorsque, sur la base des éléments à disposition, il existe un doute sur le fait de savoir si l'existence d'un soupçon est étayée, au point de justifier une mise en accusation, respectivement de rendre vraisemblable une condamnation (TF 6B_196/2020 précité).</w:t>
      </w:r>
    </w:p>
    <w:p>
      <w:r>
        <w:rPr>
          <w:b/>
        </w:rPr>
        <w:t>E. 3</w:t>
      </w:r>
    </w:p>
    <w:p>
      <w:r>
        <w:t>+ 5 + marche arrière ne s’enclenchent pas » et « pas de marche arrière à chaud » ; P. 4/3) ; - le contrat indique un prix de vente de 7'000 fr. et un « 1er acompte » versé de 7'000 fr., tandis que la recourante dit qu’elle a payé un total de 2'000 fr. ; - le contrat comporte un texte en petits caractères en bas de page truffé de fautes d’orthographes et parfaitement incompréhensible ; il est en outre indiqué que le véhicule est vendu sans garantie, alors qu’un tel document a été produit ; - au vu des commentaires de plusieurs personnes sur le site internet Autoscout24 (P. 7/3 ; recours, pp. 6-7), les agissements du vendeur apparaissent douteux.</w:t>
      </w:r>
    </w:p>
    <w:p>
      <w:r>
        <w:t>- 8 - Les indices qui précèdent permettent de fonder un soupçon suffisant de l'existence d’un comportement pénalement répréhensible de la part du cocontractant de la recourante. Par conséquent, le procureur devra ouvrir une instruction, auditionner la partie plaignante et le vendeur et faire produire par le Service des automobiles le rapport technique de la voiture effectué le 3 mars 2023. Au gré des renseignements recueillis, le procureur procédera à toute autre mesure d’instruction qu’il estimera utile à éclaircir les faits et à examiner si les éléments constitutifs d’une infraction sont réalisés.</w:t>
      </w:r>
    </w:p>
    <w:p>
      <w:r>
        <w:rPr>
          <w:b/>
        </w:rPr>
        <w:t>E. 3.1</w:t>
      </w:r>
    </w:p>
    <w:p>
      <w:r>
        <w:t>La recourante soutient que le procureur aurait dû ouvrir une enquête sur la base des éléments qu’elle avait présentés et récolter des informations complémentaires sur le vendeur dont le comportement pouvait constituer une infraction. Elle expose que le contrat de vente est étonnant : il est tantôt rédigé à la main, tantôt dactylographié, sur une page A5 ; il indique un montant de 7'000 fr. tant pour le prix de vente que pour le 1er acompte, alors qu’elle n’a versé que 2'000 fr. ; le texte est truffé de fautes d’orthographe et est incompréhensible. Elle relève que l’entité « M.________ » indiquée sur le contrat de vente et que l’entité « M.________Sàrl » indiquée sur le site internet Autoscout24 n’existent pas, comme le démontre la recherche qu’elle a effectuée sur le site du registre du commerce, ce qui signifie que le vendeur a mis en place tout un scénario pour donner l’illusion d’une société dans le but d’attirer de potentiels clients et les persuader d’acheter des véhicules perclus de défauts. Elle soutient qu’elle n’est pas la seule à s’être retrouvée dans la même situation au vu des commentaires qui figurent sous la rubrique « avis et commentaires » du site internet Autoscout24, dont elle produit une copie. Elle ajoute que le Service technique du TCS a confirmé que la boîte à vitesse de sa voiture présentait de graves défauts et que le service d’entretien était par ailleurs échu. Vu ces éléments, elle se demande comment son véhicule a pu passer avec succès l’expertise le 3 mars 2023. En définitive, la recourante considère qu’elle a été victime d’une escroquerie ou d’un abus de confiance, voire d’un faux dans les titres.</w:t>
      </w:r>
    </w:p>
    <w:p>
      <w:r>
        <w:t>- 6 -</w:t>
      </w:r>
    </w:p>
    <w:p>
      <w:r>
        <w:rPr>
          <w:b/>
        </w:rPr>
        <w:t>E. 3.2</w:t>
      </w:r>
    </w:p>
    <w:p>
      <w:r>
        <w:t>Selon l’art. 146 CP, se rend coupable d’escroquerie et sera puni d’une peine privative de liberté de cinq ans au plus ou d’une peine pécuniaire,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Il y a tromperie astucieuse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4.3 ; ATF 128 IV 18 consid. 3a). Elle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En résumé, il faut donc que l’auteur ait agi avec un raffinement ou une rouerie particulière, de manière si subtile que même une victime faisant preuve d’esprit critique se laisse tromper (Dupuis et alii, Petit Commentaire du Code pénal, 2e éd., Bâle 2017, nn. 11 ss ad art. 146 CP et les réf.).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w:t>
      </w:r>
    </w:p>
    <w:p>
      <w:r>
        <w:t>- 7 - de disposition et, enfin, entre ce dernier et un dommage (ATF 128 IV 256 consid. 2e ; ATF 115 IV 32 consid. 3a ; Corboz, Les infractions en droit suisse, vol. I, 3e éd., Berne 2010, nn. 31 et 38 ad art. 146 CP ; Dupuis et alii, op. cit., n. 32 ad art. 146 CP).</w:t>
      </w:r>
    </w:p>
    <w:p>
      <w:r>
        <w:rPr>
          <w:b/>
        </w:rPr>
        <w:t>E. 3.3</w:t>
      </w:r>
    </w:p>
    <w:p>
      <w:r>
        <w:t>En l’espèce, la situation n’est manifestement pas claire sur le plan factuel : - on ignore qui est le cocontractant de la recourante : aucune des deux sociétés indiquées tant sur le site internet Autoscout24 (M.________Sàrl) que sur le contrat de vente (M.________) ne figurent au registre du commerce ; il existe bien une société [...] en Suisse, mais celle- ci est domiciliée dans le canton des Grisons et son activité n’a rien à voir avec la vente de voitures ; - la carte grise du véhicule indique que l’expertise a eu lieu le</w:t>
      </w:r>
    </w:p>
    <w:p>
      <w:r>
        <w:rPr>
          <w:b/>
        </w:rPr>
        <w:t>E. 4</w:t>
      </w:r>
    </w:p>
    <w:p>
      <w:r>
        <w:t>Il s’ensuit que le recours doit être admis, l’ordonnance entreprise annulée et le dossier de la cause renvoyé au Ministère public pour qu’il procède dans le sens des considérants. Les frais de la procédure de recours sont fixés à 880 fr. (art. 20 al. 1 TFIP [tarif des frais de procédure et indemnités en matière pénale du 28 septembre 2010 ; BLV 312.03.1]). La recourante, qui a procédé avec l’assistance d’un avocat de choix, a droit à une indemnité pour les dépenses occasionnées par la procédure de recours. Me Alessandro Brenci s’est réservé la faculté de déposer sa note d’honoraires, mais il ne l’a pas fait après la réception des déterminations du Ministère public du 11 septembre 2023. Cette indemnité sera fixée à 1'200 fr., sur la base de 4 h d’activité nécessaire d’avocat au tarif horaire de 300 fr. (art. 26a al. 3 TFIP), correspondant à 3h30 pour la rédaction du mémoire d’appel et à 30 min. pour les opérations postérieures à la reddition de l’arrêt de la Cour de céans. Il faut y ajouter 2 % pour les débours (art. 19 al. 2 TDC [tarif des dépens en matière civile du 23 novembre 2010 ; BLV 270.11.6] par renvoi de l'art. 26a al. 6 TFIP), soit 24 fr., et 7,7 % de TVA sur le tout, soit 94 fr. 25, ce qui correspond à la somme totale de 1'319 fr. en chiffres ronds. Les frais de la procédure de recours et l’indemnité allouée à la recourante seront laissés à la charge de l’Etat (art. 428 al. 4 CPP).</w:t>
      </w:r>
    </w:p>
    <w:p>
      <w:r>
        <w:t>- 9 - Par ces motifs, la Chambre des recours pénale prononce : I. Le recours est admis. II. L’ordonnance du 10 août 2023 est annulée. III. Le dossier de la cause est renvoyé au Ministère public de l’arrondissement de l’Est vaudois pour qu’il procède dans le sens des considérants. IV. Les frais de la procédure de recours, par 880 fr. (huit cent huitante francs), sont laissés à la charge de l’Etat. V. Une indemnité de 1'319 fr. (mille trois cent dix-neuf francs) est allouée à X.________ pour la procédure de recours, à la charge de l’Etat. VI. L’arrêt est exécutoire. La présidente : La greffière : Du Le présent arrêt, dont la rédaction a été approuvée à huis clos, est notifié, par l'envoi d'une copie complète, à : - Me Alessandro Brenci, avocat (pour X.________), - Ministère public central, et communiqué à : - M. le Procureur du Ministère public de l’arrondissement de l’Est vaudois, par l’envoi de photocopies.</w:t>
      </w:r>
    </w:p>
    <w:p>
      <w:r>
        <w:t>- 10 -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