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PE23.013520 vom 13. März 2024</w:t>
      </w:r>
    </w:p>
    <w:p>
      <w:r>
        <w:t>VD Tribunal cantonal, 2024-03-13, FR</w:t>
      </w:r>
    </w:p>
    <w:p>
      <w:r>
        <w:rPr>
          <w:b/>
        </w:rPr>
        <w:t xml:space="preserve">Quelle: </w:t>
      </w:r>
      <w:r>
        <w:t>https://mcp.opencaselaw.ch/entscheid/vd_gerichte_PE23.013520</w:t>
      </w:r>
    </w:p>
    <w:p>
      <w:r>
        <w:t>FR: VD_GERICHTE PE23.013520 du 13 mars 2024</w:t>
      </w:r>
    </w:p>
    <w:p>
      <w:r>
        <w:t>IT: VD_GERICHTE PE23.013520 del 13 marzo 2024</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- 6 - Interjeté dans le délai légal et dans les formes prescrites (art. 385 al. 1 CPP) auprès de l’autorité compétente, par la partie plaignante qui a qualité pour recourir (art. 382 al. 1 CPP), le recours est recevable.</w:t>
      </w:r>
    </w:p>
    <w:p>
      <w:r>
        <w:rPr>
          <w:b/>
        </w:rPr>
        <w:t>E. 1.2</w:t>
      </w:r>
    </w:p>
    <w:p>
      <w:r>
        <w:t>; TF 6B_33/2021 du 12 juillet 2021 consid. 3.1; TF 6B_1081/2020 du 17 novembre 2021 consid. 1.2).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ATF 135 IV 56 consid. 2.1 et les références citées). Pour déterminer plus précisément les devoirs imposés par la prudence, on peut se référer à des normes édictées par l'ordre juridique pour assurer la sécurité et éviter des accidents (ATF 143 IV 138 consid. 2.1). S'agissant d'un accident de la route, il convient de se référer aux règles de la circulation routière (ATF 122 IV 133 consid. 2a ; TF 6B_976/2023 précité consid. 1.2 ; TF 6B_286/2022 du 15 juin 2023 consid. 4.1.1). 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4.1.3).</w:t>
      </w:r>
    </w:p>
    <w:p>
      <w:r>
        <w:rPr>
          <w:b/>
        </w:rPr>
        <w:t>E. 2.1</w:t>
      </w:r>
    </w:p>
    <w:p>
      <w:r>
        <w:t>Le recourant invoque une violation des art. 309 ss CPP et du principe in dubio pro duriore. Il reproche au procureur ne de pas avoir entendu des témoins, alors que l’accident se serait produit dans le cadre d’une intervention policière impliquant plusieurs agents et plusieurs personnes interpellées. Ainsi, contrairement à ce qu’a retenu le Ministère public, plusieurs éléments permettraient de faire la lumière sur les faits en question. Le recourant affirme à cet égard que les témoins [...] et [...] auraient directement assisté à l’accident. Il conviendrait dès lors de les entendre. En outre, la cause des blessures aurait également pu être, à tout le moins en partie, établie par un rapport du CHUV, dont les médecins aux urgences et l’unité de médecine des violences auraient examiné le recourant après les faits. Le constat médical établi par l’unité de médecine des violences du CHUV le 21 avril 2023 permettrait d’ores et déjà d’amener certains éléments quant aux séquelles subies par le recourant. Celui-ci a en outre précisé qu’une procédure administrative aurait été ouverte à son endroit par la Police cantonale vaudoise (cellule HORO) pour des faits liés au match de football qui avait eu lieu avant les faits litigieux. Dans le cadre de cette instruction, des vidéos et des photographies du recourant auraient par ailleurs été prises. Il aurait dès lors été opportun de vérifier les allégations de P.________ sur le comportement du recourant dans ce cadre. Le Ministère public aurait donc dû clarifier les faits, en exploitant les moyens de preuve disponibles, d’autant plus que, au vu des séquelles physiques et psychiques subies par le recourant selon le constat médical du 21 avril 2023, des dommages causés sur une voiture en raison de la projection du corps du recourant sur le capot et du fait que le policier roulait à contresens sur une piste cyclable, des indices concrets d’infractions, soit celles à la loi fédérale sur la circulation routière retenues dans le rapport de police, mais également celles de lésions corporelles simples par négligence ou encore de mise en danger de la vie d’autrui, existaient et justifiaient l’ouverture d’une instruction pénale.</w:t>
      </w:r>
    </w:p>
    <w:p>
      <w:r>
        <w:t>- 7 -</w:t>
      </w:r>
    </w:p>
    <w:p>
      <w:r>
        <w:rPr>
          <w:b/>
        </w:rPr>
        <w:t>E. 2.2.1</w:t>
      </w:r>
    </w:p>
    <w:p>
      <w:r>
        <w:t>Aux termes de l’art. 309 al. 1 let. a CPP, le Ministère public ouvre une instruction, notamment, lorsqu’il ressort du rapport de police, des dénonciations ou de ses propres constatations des soupçons suffisants laissant présumer qu’une infraction a été commise. Conformément à l'art. 310 al. 1 let. a CPP, le Ministère public rend immédiatement – c'est-à-dire sans qu'une instruction soit ouverte (art. 309 al. 1 et 4 CPP ; ATF 144 IV 81 consid. 2.3.3 ; Grodecki/Cornu, in : Commentaire romand, Code de procédure pénale suisse, 2e éd., Bâle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 2.1 ; TF 6B_1177/2022 du 21 février 2023 consid. 2.1). Cette disposition doit être appliquée conformément à l'adage in dubio pro duriore, qui découle du principe de la légalité (art. 5 al. 1 Cst. [Constitution fédérale de la Confédération suisse du 18 avril 1999 ; RS 101] et art. 2 al. 2 CPP ; ATF 138 IV 86 consid. 4.2 ; TF 6B_1177/2022 précité) et signifie qu'en principe un classement ou une non-entrée en matière ne peuvent être prononcés par le ministère public que lorsqu'il apparaît clairement que les faits ne sont pas punissables ou que les conditions à la poursuite pénale ne sont pas remplies (ATF 146 IV 68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w:t>
      </w:r>
    </w:p>
    <w:p>
      <w:r>
        <w:t>- 8 - règle générale, dans le doute, il convient d'ouvrir une enquête pénale (ATF 143 IV 241 consid. 2.2.1 ; ATF 138 IV 86 précité consid. 4.1.2 ; ATF 137 IV 285 consid. 2.3 et les réf. cit., JdT 2012 IV 160).</w:t>
      </w:r>
    </w:p>
    <w:p>
      <w:r>
        <w:rPr>
          <w:b/>
        </w:rPr>
        <w:t>E. 2.2.2</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de l’instruction, selon laquelle le Ministère public doit adopter un comportement actif, à savoir rechercher lui-même les faits, d’office et en toute indépendance, dans le but de former son intime conviction et d’établir la vérité matérielle (Moreillon/Parein-Reymond, Petit Commentaire, Code de procédure pénale, 2e éd., Bâle 2016, n. 4 ad art. 6 CPP et les références citées). Cette maxime n’oblige pas le magistrat à administrer d’office de nouvelles preuves lorsqu’il a déjà formé son opinion sur la base du dossier et parvient à la conclusion que les preuves en question ne sont pas décisives pour la solution du litige ou ne pourraient pas l’amener à modifier son opinion (TF 6B_524/2023 du 18 août 2023 consid. 3.1 ; TF 6B_317/2018 du 10 août 2018 consid. 3.2 et les arrêts cités).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op. cit., n. 8 ad art. 6 CPP et les références citées).</w:t>
      </w:r>
    </w:p>
    <w:p>
      <w:r>
        <w:rPr>
          <w:b/>
        </w:rPr>
        <w:t>E. 2.2.3</w:t>
      </w:r>
    </w:p>
    <w:p>
      <w:r>
        <w:t>Selon l’art. 123 ch. 1 CP, celui qui, intentionnellement, aura fait subir à une personne une autre atteinte à l’intégrité corporelle ou à la santé que celles énumérées à l’art. 122 CP sera, sur plainte, puni d’une peine privative de liberté de trois ans au plus ou d’une peine pécuniaire.</w:t>
      </w:r>
    </w:p>
    <w:p>
      <w:r>
        <w:rPr>
          <w:b/>
        </w:rPr>
        <w:t>E. 2.2.4</w:t>
      </w:r>
    </w:p>
    <w:p>
      <w:r>
        <w:t>L'art. 125 al. 1 CP réprime le comportement de celui qui, par négligence, aura fait subir à une personne une atteinte à l'intégrité corporelle ou à la santé. La réalisation de l'infraction réprimée par l'art.</w:t>
      </w:r>
    </w:p>
    <w:p>
      <w:r>
        <w:t>- 9 - 125 CP suppose la réunion de trois éléments constitutifs, à savoir une négligence imputable à l'auteur, des lésions corporelles subies par la victime, ainsi qu'un lien de causalité naturelle et adéquate entre la négligence et les lésions (TF 6B_976/2023 du 29 novembre 2023 consid.</w:t>
      </w:r>
    </w:p>
    <w:p>
      <w:r>
        <w:rPr>
          <w:b/>
        </w:rPr>
        <w:t>E. 2.3</w:t>
      </w:r>
    </w:p>
    <w:p>
      <w:r>
        <w:t>En l’espèce, on doit admettre avec le recourant que le procureur a retenu à tort qu’aucun autre élément de l’enquête ne permettait d’éclaircir les faits, alors qu’il ressort clairement de la transcription de ceux-ci qu’il y avait de nombreuses personnes présentes, que ce soient des policiers ou des « accompagnants » du groupe du</w:t>
      </w:r>
    </w:p>
    <w:p>
      <w:r>
        <w:t>- 10 - recourant. Celui-ci mentionne désormais le nom de témoins, de sorte que qu’il paraît opportun de les entendre, de même que, le cas échéant, d’autres policiers. S’agissant de l’enquête ouverte par la cellule HORO, on ignore en réalité quelles seraient les photographies et vidéos prises et, a fortiori, si ces images auraient une quelconque pertinence pour apprécier les faits de la cause, ce qu’il appartiendra au procureur de vérifier. S’agissant enfin des blessures subies par le recourant, il faut constater que, malgré le document établi par le CHUV, rien ne permet en tout cas à ce stade de dire que ce sont bien des blessures qui sont consécutives à l’accident litigieux, puisque le recourant semble avoir été impliqué dans une bagarre qui a précédé cet accident. Cela étant, si les faits devaient être avérés, le choc entre le motocycle et le piéton serait susceptible de créer les lésions décrites. Il s’agirait alors bien d’infractions pénales, notamment à l’intégrité corporelle. Il s’ensuit que les conditions strictes d’un refus d’entrer en matière posées par l’art. 310 al. 1 let. a CPP ne sont pas réunies. Il appartiendra donc au Ministère public d’ouvrir une instruction pénale et de procéder aux mesures d’instruction nécessaires à l’éclaircissement des faits, notamment aux auditions des témoins cités par le recourant et d’autres policiers, présents sur le lieu de l’accident.</w:t>
      </w:r>
    </w:p>
    <w:p>
      <w:r>
        <w:rPr>
          <w:b/>
        </w:rPr>
        <w:t>E. 3</w:t>
      </w:r>
    </w:p>
    <w:p>
      <w:r>
        <w:t>al. 2 RAJ [règlement sur l’assistance judiciaire en matière civile du</w:t>
      </w:r>
    </w:p>
    <w:p>
      <w:r>
        <w:rPr>
          <w:b/>
        </w:rPr>
        <w:t>E. 7</w:t>
      </w:r>
    </w:p>
    <w:p>
      <w:r>
        <w:t>décembre 2010 ; BLV 211.02.3] par renvoi de l’art. 26b TFIP [tarif des frais de procédure et indemnités en matière pénale du 28 septembre 2010 ; BLV 312.03.1] ; ATF 137 III 185), soit 720 francs. S’y ajoutent 2 % pour les débours forfaitaires (art. 3bis al. 1 RAJ par renvoi de l’art. 26b TFIP), soit 14 fr. 40, et la TVA sur le tout, au taux de 8,1 %, s’agissant uniquement d’opérations postérieures au 1er janvier 2024, par 59 fr. 50. L’indemnité de conseil juridique gratuit s’élève ainsi à 794 fr. au total en chiffres arrondis. Les frais de la procédure de recours, constitués en l'espèce de l'émolument d'arrêt, par 1’210 fr. (art. 20 al. 1 TFIP [tarif des frais de procédure et indemnités en matière pénale du 28 septembre 2010 ; BLV 312.03.1]), et de l’indemnité allouée au conseil juridique gratuit (art. 422 al. 1 et 2 let. a CPP), par 794 fr., seront laissés à la charge de l’Etat (art. 428 al. 4 CPP). Par ces motifs, la Chambre des recours pénale prononce : I. Le recours est admis. II. L’ordonnance du 10 janvier 2024 est annulée. III. Le dossier de la cause est renvoyé au Ministère public de l’arrondissement de Lausanne pour qu’il procède dans le sens des considérants.</w:t>
      </w:r>
    </w:p>
    <w:p>
      <w:r>
        <w:t>- 12 - IV. La requête d’assistance judiciaire déposée par S.________ est admise et Me Luisa Bottarelli est désignée en qualité de conseil juridique gratuit de S.________ pour la procédure de recours. V. L’indemnité allouée à Me Luisa Bottarelli, conseil juridique gratuit de S.________, est fixée à 794 fr. (sept cent nonante- quatre francs). VI. Les frais d’arrêt, par 1'210 fr. (mille deux cent dix francs), ainsi que l’indemnité allouée au conseil juridique gratuit de S.________, par 794 fr. (sept cent nonante-quatre francs), sont laissés à la charge de l’Etat. VII. L’arrêt est exécutoire. Le président : La greffière : Du Le présent arrêt, dont la rédaction a été approuvée à huis clos, est notifié, par l'envoi d'une copie complète, à : - Me Luisa Bottarelli, avocate (pour S.________), - Ministère public central ; et communiqué à : - M. le Procureur de l’arrondissement de Lausanne, - M. P.________, par l’envoi de photocopies. Le présent arrêt peut faire l'objet d'un recours en matière pénale devant le Tribunal fédéral au sens des art. 78 ss LTF (loi du 17 juin 2005 sur le Tribunal fédéral ; RS 173.110). Ce recours doit être déposé</w:t>
      </w:r>
    </w:p>
    <w:p>
      <w:r>
        <w:t>- 13 -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