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PE23.013295 vom 5. Juli 2024</w:t>
      </w:r>
    </w:p>
    <w:p>
      <w:r>
        <w:t>VD Tribunal cantonal, 2024-07-05, FR</w:t>
      </w:r>
    </w:p>
    <w:p>
      <w:r>
        <w:rPr>
          <w:b/>
        </w:rPr>
        <w:t xml:space="preserve">Quelle: </w:t>
      </w:r>
      <w:r>
        <w:t>https://mcp.opencaselaw.ch/entscheid/vd_gerichte_PE23.013295</w:t>
      </w:r>
    </w:p>
    <w:p>
      <w:r>
        <w:t>FR: VD_GERICHTE PE23.013295 du 5 juillet 2024</w:t>
      </w:r>
    </w:p>
    <w:p>
      <w:r>
        <w:t>IT: VD_GERICHTE PE23.013295 del 5 luglio 2024</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d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et par une partie qui a qualité pour recourir (art. 382 al. 1 CPP), le recours est recevable, sous réserve de ce qui sera exposé plus bas (cf. consid. 2.3). La pièce nouvelle est également recevable (art. 389 al. 3 CPP).</w:t>
      </w:r>
    </w:p>
    <w:p>
      <w:r>
        <w:rPr>
          <w:b/>
        </w:rPr>
        <w:t>E. 2.1</w:t>
      </w:r>
    </w:p>
    <w:p>
      <w:r>
        <w:t>Le recourant invoque qu’il n’a pas les moyens financiers pour se payer un avocat car il est au bénéfice du revenu d’insertion, selon une pièce qu’il produit. Sur le plan juridique, il fait valoir que « la cause présente une certaine complexité quant à l’infraction retenue à son encontre et une personne non juriste ne comprendrait pas les nuances à faire valoir pour se défendre correctement » ; un conseil lui serait</w:t>
      </w:r>
    </w:p>
    <w:p>
      <w:r>
        <w:t>- 6 - nécessaire pour lui expliquer les notions juridiques et le rendre attentif à certains points ; en outre, dans une période durant laquelle il est en recherche d’emploi, ce ne serait pas tant la peine qui serait grave mais l’inscription au casier judiciaire qui lui ferait du tort ; ce sont pour toutes ces raisons qu’il serait important qu’il « puisse être accompagné juridiquement dans le cadre de cette procédure ».</w:t>
      </w:r>
    </w:p>
    <w:p>
      <w:r>
        <w:rPr>
          <w:b/>
        </w:rPr>
        <w:t>E. 2.2.1</w:t>
      </w:r>
    </w:p>
    <w:p>
      <w:r>
        <w:t>En dehors des cas de défense obligatoire visés à l'art. 130 CPP, l'art. 132 al. 1 let. b CPP dispose que la direction de la procédure ordonne une défense d’office si le prévenu ne dispose pas des moyens nécessaires et que l’assistance d’un défenseur est justifiée pour sauvegarder ses intérêts. La seconde condition s'interprète à l'aune des critères mentionnés à l'art. 132 al. 2 et 3 CPP :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 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2024 consid. 2.2 ; TF 1B_510/2022 du 16 décembre 2022 consid. 3.1 ; TF 1B_172/2022 du 18 juillet 2022 consid. 2.1).</w:t>
      </w:r>
    </w:p>
    <w:p>
      <w:r>
        <w:t>- 7 - Les critères énoncés par l'art. 132 al. 1 let. b, 2 et 3 CPP reprennent largement la jurisprudence du Tribunal fédéral en matière d'assistance judiciaire, rendue sur la base des art. 29 al. 3 Cst. (Constitution fédérale de la Confédération suisse du 18 avril 1999 ; RS 101) et 6 par. 3 let. c CEDH (Convention de sauvegarde des droits de l’homme et des libertés fondamentales du 4 novembre 1950 ; RS 0.101) (ATF 143 I 164 consid. 3.5 ; TF 7B_839/2023 précité consid. 2.2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1B_510/2022 précité consid. 3.1).</w:t>
      </w:r>
    </w:p>
    <w:p>
      <w:r>
        <w:rPr>
          <w:b/>
        </w:rPr>
        <w:t>E. 2.2.2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7B_839/2023 précité consid. 2.3 ; TF 1B_510/2022 précité consid. 3.2). S'agissant de la difficulté objective de la cause, à l'instar de ce qu'elle a développé en rapport avec les chances de succès d'un recours (ATF 142 III 138 consid. 5.1 ; ATF 139 III 396 consid. 1.2 ; ATF 129 I 129 consid. 2.3.1 ; TF 7B_839/2023 précité consid. 2.3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w:t>
      </w:r>
    </w:p>
    <w:p>
      <w:r>
        <w:t>- 8 - 7B_839/2023 précité consid. 2.3 ; TF 1B_510/2022 précité consid. 3.2). La difficulté objective d'une cause est admise sur le plan juridique lorsque la subsomption des faits donne lieu à des doutes, que ce soit de manière générale ou dans le cas particulier (TF 7B_839/2023 précité consid. 2.3 ; TF 1B_510/2022 précité consid. 3.2 ; TF 1B_483/2022 du 28 septembre 2022 consid. 3 ; TF 1B_172/2022 du 18 juillet 2022 consid. 2.1).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w:t>
      </w:r>
    </w:p>
    <w:p>
      <w:r>
        <w:rPr>
          <w:b/>
        </w:rPr>
        <w:t>E. 2.2.3</w:t>
      </w:r>
    </w:p>
    <w:p>
      <w:r>
        <w:t>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7B_51/2024 du 25 avril 2024 consid. 2.2.2 et les réf. ; TF 6B_1447/2022 du 14 mars 2023 consid. 1.1 et les réf.).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Dans la mesure où elle concrétise l'interdiction, pour les autorités, du formalisme excessif, elle ne s'applique pas aux requêtes</w:t>
      </w:r>
    </w:p>
    <w:p>
      <w:r>
        <w:t>- 9 -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(TF 7B_51/2024 du 25 avril 2024 consid. 2.2.2 et les réf. ; TF 6B_1447/2022 du 14 mars 2023 consid. 1.1 et les réf.).</w:t>
      </w:r>
    </w:p>
    <w:p>
      <w:r>
        <w:rPr>
          <w:b/>
        </w:rPr>
        <w:t>E. 2.3</w:t>
      </w:r>
    </w:p>
    <w:p>
      <w:r>
        <w:t>En l’espèce, s’agissant des moyens du recourant, il faut admettre que, en seconde instance seulement, il établit être indigent. La pièce produite à l’appui de son recours – une « attestation RI » délivrée le</w:t>
      </w:r>
    </w:p>
    <w:p>
      <w:r>
        <w:rPr>
          <w:b/>
        </w:rPr>
        <w:t>E. 6</w:t>
      </w:r>
    </w:p>
    <w:p>
      <w:r>
        <w:t>juin 2024 par le Centre social régional de l’Ouest lausannois – atteste en effet que le recourant, domicilié à [...], est au bénéfice du revenu d’insertion depuis le 1er octobre 2022. La première condition posée par l’art. 132 al. 1 let. b CPP est donc remplie. Il reste donc à déterminer si le recourant établit que la sauvegarde de ses intérêts nécessite la désignation d’un défenseur d’office. Pour toute motivation à cet égard, le recourant se contente d’affirmer que « la cause présente une certaine complexité quant à l’infraction retenue », qu’il a besoin d’un conseil pour lui « expliquer les notions juridiques » et « pour le rendre attentif à certains points ». Cette motivation est trop vague pour répondre aux exigences de l’art. 385 al. 1 CPP et de la jurisprudence y relative. Elle ne procède à aucune démonstration de la difficulté prétendue de la cause, que ce soit sous l’angle des faits ou du droit. Elle n’invoque la violation d’aucune norme, ni d’aucune jurisprudence, ni ne fait référence aux conditions d’application de l’art. 173 CP. Elle est donc irrecevable. Quant à l’argument selon lequel la cause présente une importance particulière pour le prévenu, car une inscription à son casier judiciaire lui serait préjudiciable pour retrouver un emploi, il est recevable. Il faut cependant le rejeter. En effet, le recourant touche le revenu d’insertion depuis le 1er octobre 2022, en indiquant être domicilié à [...], alors qu’il ressort du rapport d’investigation du 16 octobre 2023 (P. 6) qu’il n’est plus domicilié officiellement dans cette commune et qu’il n’a pas</w:t>
      </w:r>
    </w:p>
    <w:p>
      <w:r>
        <w:t>- 10 - communiqué son changement d’adresse ; en outre, il ne ressort d’aucune pièce qu’il est en recherche d’emploi ; de toute manière, l’argument tombe à faux car le recourant perd de vue que son casier judiciaire compte déjà deux inscriptions, de sorte que l’importance d’une éventuelle troisième inscription dans une soi-disant recherche d’emploi serait en tout état de cause très relative. Enfin, c’est à juste titre que le premier juge a considéré que le quantum de peine – 30 jours-amende avec sursis infligés par le Ministère public pour diffamation (et non calomnie) – impliquait que la cause était de peu de gravité au sens de l’art. 132 al. 3 CPP. Le recourant ne le conteste pas et, comme dit plus haut, ne démontre pas qu’il existerait des circonstances qui imposeraient néanmoins l’assistance d’un défenseur d’office. Au surplus, il ne ressort pas du dossier que tel serait le cas : le recourant a admis les faits et – apparemment – entend se défendre en invoquant une situation particulière de contrainte, en relation avec le fait qu’il ne pouvait prétendument pas voir ses enfants (PV aud. 2, lignes 49- 60 et 86-89). Le recourant, assisté d’un défenseur de choix, n’argue pas qu’il existerait des circonstances subjectives l’empêchant de comprendre la procédure. Au demeurant, il ressort de son audition qu’il s’exprime en français et qu’il est capable de présenter ses moyens. Le recourant n’invoque pas non plus l’égalité des armes, à raison ; en effet, si la plaignante était assistée d’un avocat de choix devant le Ministère public, il n’est pas établi que cela soit le cas devant le Tribunal de police ; de toute manière, cette seule circonstance – non invoquée – ne suffirait pas à justifier que le prévenu soit assisté d’un avocat. 3. Il résulte de ce qui précède que le recours, manifestement mal fondé, doit être rejeté sans échange d’écritures (art. 390 al. 2 CPP), dans la mesure où il est recevable, et la décision entreprise confirmée. Les frais de la procédure de recours,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dans la mesure où il est recevable. II. La décision du 17 mai 2024 est confirmée. III. Les frais d’arrêt, par 1'100 fr. (mille cent francs), sont mis à la charge d’Y.________. IV. L’arrêt est exécutoire. Le président : La greffière : Du Le présent arrêt, dont la rédaction a été approuvée à huis clos, est notifié, par l'envoi d'une copie complète, à : - Me Nour-Aïda Bujard, avocate (pour Y.________), - Ministère public central, et communiqué à : - Mme la Présidente du Tribunal de police de l’arrondissement de Lausanne, - Mme la Procureure de l’arrondissement de Lausanne, par l’envoi de photocopies.</w:t>
      </w:r>
    </w:p>
    <w:p>
      <w:r>
        <w:t>- 12 -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